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00973" w14:textId="139706A4" w:rsidR="004322D1" w:rsidRPr="00345FCF" w:rsidRDefault="00674AE1" w:rsidP="006E5613">
      <w:pPr>
        <w:pStyle w:val="Heading1"/>
        <w:spacing w:before="0" w:after="40"/>
        <w:rPr>
          <w:sz w:val="36"/>
          <w:szCs w:val="36"/>
        </w:rPr>
      </w:pPr>
      <w:bookmarkStart w:id="0" w:name="_Toc179551863"/>
      <w:bookmarkStart w:id="1" w:name="_Toc196394207"/>
      <w:bookmarkStart w:id="2" w:name="_Toc196394389"/>
      <w:bookmarkStart w:id="3" w:name="_Toc196395757"/>
      <w:bookmarkStart w:id="4" w:name="_Toc196396091"/>
      <w:bookmarkStart w:id="5" w:name="_Toc197693766"/>
      <w:bookmarkStart w:id="6" w:name="_Toc204344504"/>
      <w:bookmarkStart w:id="7" w:name="_Toc207811823"/>
      <w:bookmarkStart w:id="8" w:name="_Toc207865899"/>
      <w:bookmarkStart w:id="9" w:name="_Toc207866622"/>
      <w:bookmarkStart w:id="10" w:name="_Toc207866802"/>
      <w:bookmarkStart w:id="11" w:name="_Toc211851617"/>
      <w:bookmarkStart w:id="12" w:name="_Toc217038028"/>
      <w:bookmarkStart w:id="13" w:name="_Toc225165519"/>
      <w:bookmarkStart w:id="14" w:name="_Toc226109523"/>
      <w:bookmarkStart w:id="15" w:name="_Toc229141087"/>
      <w:bookmarkStart w:id="16" w:name="_Toc237869295"/>
      <w:bookmarkStart w:id="17" w:name="_Toc237871435"/>
      <w:bookmarkStart w:id="18" w:name="_Toc241055199"/>
      <w:bookmarkStart w:id="19" w:name="_Toc241228569"/>
      <w:bookmarkStart w:id="20" w:name="_Toc241500401"/>
      <w:bookmarkStart w:id="21" w:name="_Toc241500731"/>
      <w:bookmarkStart w:id="22" w:name="_Toc242169382"/>
      <w:bookmarkStart w:id="23" w:name="_Toc242423548"/>
      <w:bookmarkStart w:id="24" w:name="_Toc242770568"/>
      <w:bookmarkStart w:id="25" w:name="_Toc242944258"/>
      <w:bookmarkStart w:id="26" w:name="_Toc242948683"/>
      <w:bookmarkStart w:id="27" w:name="_Toc243044159"/>
      <w:bookmarkStart w:id="28" w:name="_Toc243044693"/>
      <w:bookmarkStart w:id="29" w:name="_Toc243548703"/>
      <w:bookmarkStart w:id="30" w:name="_Toc243556812"/>
      <w:bookmarkStart w:id="31" w:name="_Toc243558495"/>
      <w:r w:rsidRPr="00345FCF">
        <w:rPr>
          <w:bCs/>
          <w:sz w:val="36"/>
          <w:szCs w:val="36"/>
        </w:rPr>
        <w:t>GRANT FUNDING</w:t>
      </w:r>
      <w:r w:rsidRPr="00345FCF">
        <w:rPr>
          <w:sz w:val="36"/>
          <w:szCs w:val="36"/>
        </w:rPr>
        <w:t xml:space="preserve"> OPPORTUNITY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6BDC5843" w14:textId="77777777" w:rsidR="004322D1" w:rsidRPr="000820F6" w:rsidRDefault="004322D1" w:rsidP="000820F6">
      <w:pPr>
        <w:spacing w:before="240"/>
        <w:jc w:val="center"/>
        <w:rPr>
          <w:b/>
          <w:bCs/>
          <w:sz w:val="32"/>
          <w:szCs w:val="32"/>
        </w:rPr>
      </w:pPr>
      <w:bookmarkStart w:id="32" w:name="_Toc241228570"/>
      <w:bookmarkStart w:id="33" w:name="_Toc225165520"/>
      <w:bookmarkStart w:id="34" w:name="_Toc226109524"/>
      <w:bookmarkStart w:id="35" w:name="_Toc228355407"/>
      <w:bookmarkStart w:id="36" w:name="_Toc228523007"/>
      <w:bookmarkStart w:id="37" w:name="_Toc228953738"/>
      <w:bookmarkStart w:id="38" w:name="_Toc229141088"/>
      <w:bookmarkStart w:id="39" w:name="_Toc237869296"/>
      <w:bookmarkStart w:id="40" w:name="_Toc237871436"/>
      <w:bookmarkStart w:id="41" w:name="_Toc241055200"/>
      <w:r w:rsidRPr="000820F6">
        <w:rPr>
          <w:b/>
          <w:bCs/>
          <w:sz w:val="32"/>
          <w:szCs w:val="32"/>
        </w:rPr>
        <w:t>Distributed Electricity Backup Assets Program</w:t>
      </w:r>
      <w:bookmarkEnd w:id="32"/>
    </w:p>
    <w:p w14:paraId="4B65EC39" w14:textId="367B1AED" w:rsidR="00674AE1" w:rsidRPr="000820F6" w:rsidRDefault="008D61CF" w:rsidP="000820F6">
      <w:pPr>
        <w:spacing w:before="240"/>
        <w:jc w:val="center"/>
        <w:rPr>
          <w:b/>
          <w:bCs/>
          <w:sz w:val="32"/>
          <w:szCs w:val="32"/>
        </w:rPr>
      </w:pPr>
      <w:bookmarkStart w:id="42" w:name="_Toc241228571"/>
      <w:r w:rsidRPr="000820F6">
        <w:rPr>
          <w:b/>
          <w:bCs/>
          <w:sz w:val="32"/>
          <w:szCs w:val="32"/>
        </w:rPr>
        <w:t>Distributed Energy Resources (DER</w:t>
      </w:r>
      <w:r w:rsidR="00433658" w:rsidRPr="000820F6">
        <w:rPr>
          <w:b/>
          <w:bCs/>
          <w:sz w:val="32"/>
          <w:szCs w:val="32"/>
        </w:rPr>
        <w:t>s</w:t>
      </w:r>
      <w:r w:rsidRPr="000820F6">
        <w:rPr>
          <w:b/>
          <w:bCs/>
          <w:sz w:val="32"/>
          <w:szCs w:val="32"/>
        </w:rPr>
        <w:t>)</w:t>
      </w:r>
      <w:r w:rsidR="00433658" w:rsidRPr="000820F6">
        <w:rPr>
          <w:b/>
          <w:bCs/>
          <w:sz w:val="32"/>
          <w:szCs w:val="32"/>
        </w:rPr>
        <w:t xml:space="preserve"> for </w:t>
      </w:r>
      <w:r w:rsidR="007E6840" w:rsidRPr="000820F6">
        <w:rPr>
          <w:b/>
          <w:bCs/>
          <w:sz w:val="32"/>
          <w:szCs w:val="32"/>
        </w:rPr>
        <w:t xml:space="preserve">Grid </w:t>
      </w:r>
      <w:r w:rsidR="00433658" w:rsidRPr="000820F6">
        <w:rPr>
          <w:b/>
          <w:bCs/>
          <w:sz w:val="32"/>
          <w:szCs w:val="32"/>
        </w:rPr>
        <w:t>Reliability</w:t>
      </w:r>
      <w:bookmarkEnd w:id="33"/>
      <w:bookmarkEnd w:id="34"/>
      <w:bookmarkEnd w:id="35"/>
      <w:bookmarkEnd w:id="36"/>
      <w:bookmarkEnd w:id="37"/>
      <w:bookmarkEnd w:id="38"/>
      <w:bookmarkEnd w:id="39"/>
      <w:bookmarkEnd w:id="40"/>
      <w:bookmarkEnd w:id="41"/>
      <w:bookmarkEnd w:id="42"/>
    </w:p>
    <w:p w14:paraId="20241F46" w14:textId="77777777" w:rsidR="00674AE1" w:rsidRPr="007A2DD7" w:rsidRDefault="00674AE1" w:rsidP="00674AE1">
      <w:pPr>
        <w:jc w:val="center"/>
      </w:pPr>
      <w:bookmarkStart w:id="43" w:name="_Toc228355408"/>
      <w:bookmarkStart w:id="44" w:name="_Toc228523008"/>
      <w:bookmarkStart w:id="45" w:name="_Toc228953739"/>
      <w:bookmarkStart w:id="46" w:name="_Toc229141089"/>
      <w:r>
        <w:rPr>
          <w:noProof/>
        </w:rPr>
        <w:drawing>
          <wp:inline distT="0" distB="0" distL="0" distR="0" wp14:anchorId="57B9FF79" wp14:editId="7AE9306D">
            <wp:extent cx="2234681" cy="2143219"/>
            <wp:effectExtent l="0" t="0" r="0" b="0"/>
            <wp:docPr id="557889198" name="Picture 7" descr="CE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89198" name="Picture 7" descr="CEC Logo"/>
                    <pic:cNvPicPr/>
                  </pic:nvPicPr>
                  <pic:blipFill>
                    <a:blip r:embed="rId11"/>
                    <a:stretch>
                      <a:fillRect/>
                    </a:stretch>
                  </pic:blipFill>
                  <pic:spPr>
                    <a:xfrm>
                      <a:off x="0" y="0"/>
                      <a:ext cx="2255592" cy="2163274"/>
                    </a:xfrm>
                    <a:prstGeom prst="rect">
                      <a:avLst/>
                    </a:prstGeom>
                  </pic:spPr>
                </pic:pic>
              </a:graphicData>
            </a:graphic>
          </wp:inline>
        </w:drawing>
      </w:r>
      <w:bookmarkEnd w:id="43"/>
      <w:bookmarkEnd w:id="44"/>
      <w:bookmarkEnd w:id="45"/>
      <w:bookmarkEnd w:id="46"/>
    </w:p>
    <w:p w14:paraId="24D08EBB" w14:textId="77777777" w:rsidR="00674AE1" w:rsidRPr="005A2DF5" w:rsidRDefault="00674AE1" w:rsidP="00674AE1">
      <w:pPr>
        <w:keepLines/>
        <w:widowControl w:val="0"/>
        <w:jc w:val="center"/>
      </w:pPr>
      <w:r w:rsidRPr="00AA51C5">
        <w:rPr>
          <w:noProof/>
        </w:rPr>
        <w:drawing>
          <wp:inline distT="0" distB="0" distL="0" distR="0" wp14:anchorId="04F76762" wp14:editId="2245DDF7">
            <wp:extent cx="895350" cy="788761"/>
            <wp:effectExtent l="0" t="0" r="0" b="0"/>
            <wp:docPr id="38012844" name="Picture 4" descr="Climate Bond Prop 4 - CNRA Bo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limate Bond Prop 4 - CNRA Bond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9110" cy="792073"/>
                    </a:xfrm>
                    <a:prstGeom prst="rect">
                      <a:avLst/>
                    </a:prstGeom>
                    <a:noFill/>
                    <a:ln>
                      <a:noFill/>
                    </a:ln>
                  </pic:spPr>
                </pic:pic>
              </a:graphicData>
            </a:graphic>
          </wp:inline>
        </w:drawing>
      </w:r>
    </w:p>
    <w:p w14:paraId="70006EA7" w14:textId="28FE44CE" w:rsidR="00674AE1" w:rsidRPr="004D62FC" w:rsidRDefault="00674AE1" w:rsidP="00674AE1">
      <w:pPr>
        <w:keepLines/>
        <w:widowControl w:val="0"/>
        <w:jc w:val="center"/>
        <w:rPr>
          <w:b/>
        </w:rPr>
      </w:pPr>
      <w:r w:rsidRPr="004D62FC">
        <w:rPr>
          <w:b/>
        </w:rPr>
        <w:t>GFO-2</w:t>
      </w:r>
      <w:r>
        <w:rPr>
          <w:b/>
        </w:rPr>
        <w:t>6</w:t>
      </w:r>
      <w:r w:rsidRPr="004D62FC">
        <w:rPr>
          <w:b/>
        </w:rPr>
        <w:t>-</w:t>
      </w:r>
      <w:r w:rsidR="00DA3BFC">
        <w:rPr>
          <w:b/>
        </w:rPr>
        <w:t>503</w:t>
      </w:r>
    </w:p>
    <w:p w14:paraId="545445C5" w14:textId="2DF75614" w:rsidR="00A42523" w:rsidRDefault="00A42523" w:rsidP="00674AE1">
      <w:pPr>
        <w:keepLines/>
        <w:widowControl w:val="0"/>
        <w:jc w:val="center"/>
        <w:rPr>
          <w:b/>
        </w:rPr>
      </w:pPr>
      <w:hyperlink r:id="rId13" w:history="1">
        <w:r w:rsidRPr="00A42523">
          <w:rPr>
            <w:rStyle w:val="Hyperlink"/>
            <w:rFonts w:cs="Arial"/>
            <w:b/>
          </w:rPr>
          <w:t>California Energy Commission Solicitations</w:t>
        </w:r>
      </w:hyperlink>
    </w:p>
    <w:p w14:paraId="6DBCE7CB" w14:textId="25AC0BFA" w:rsidR="00674AE1" w:rsidRPr="007A2DD7" w:rsidRDefault="00674AE1" w:rsidP="00674AE1">
      <w:pPr>
        <w:keepLines/>
        <w:widowControl w:val="0"/>
        <w:jc w:val="center"/>
        <w:rPr>
          <w:b/>
        </w:rPr>
      </w:pPr>
      <w:r w:rsidRPr="007A2DD7">
        <w:rPr>
          <w:b/>
        </w:rPr>
        <w:t>State of California</w:t>
      </w:r>
    </w:p>
    <w:p w14:paraId="03155514" w14:textId="77777777" w:rsidR="00674AE1" w:rsidRPr="007A2DD7" w:rsidRDefault="00674AE1" w:rsidP="00674AE1">
      <w:pPr>
        <w:keepLines/>
        <w:widowControl w:val="0"/>
        <w:jc w:val="center"/>
        <w:rPr>
          <w:b/>
        </w:rPr>
      </w:pPr>
      <w:r w:rsidRPr="007A2DD7">
        <w:rPr>
          <w:b/>
        </w:rPr>
        <w:t>California Energy Commission</w:t>
      </w:r>
    </w:p>
    <w:p w14:paraId="646D9D55" w14:textId="75DA45A3" w:rsidR="00674AE1" w:rsidRPr="005A2DF5" w:rsidDel="0045547C" w:rsidRDefault="00674AE1" w:rsidP="00674AE1">
      <w:pPr>
        <w:keepLines/>
        <w:widowControl w:val="0"/>
        <w:tabs>
          <w:tab w:val="left" w:pos="1440"/>
          <w:tab w:val="center" w:pos="4680"/>
          <w:tab w:val="left" w:pos="7410"/>
        </w:tabs>
        <w:sectPr w:rsidR="00674AE1" w:rsidRPr="005A2DF5" w:rsidDel="0045547C" w:rsidSect="00554DC9">
          <w:headerReference w:type="default" r:id="rId14"/>
          <w:footerReference w:type="default" r:id="rId15"/>
          <w:headerReference w:type="first" r:id="rId16"/>
          <w:footerReference w:type="first" r:id="rId17"/>
          <w:pgSz w:w="12240" w:h="15840" w:code="1"/>
          <w:pgMar w:top="1440" w:right="1440" w:bottom="1440" w:left="1440" w:header="1008" w:footer="432" w:gutter="0"/>
          <w:pgNumType w:fmt="numberInDash" w:start="1"/>
          <w:cols w:space="720"/>
        </w:sectPr>
      </w:pPr>
      <w:r w:rsidRPr="00507A21">
        <w:tab/>
      </w:r>
      <w:r w:rsidRPr="00507A21">
        <w:tab/>
      </w:r>
      <w:r w:rsidR="00B1337D">
        <w:t>October</w:t>
      </w:r>
      <w:r w:rsidRPr="00507A21">
        <w:t xml:space="preserve"> 2026</w:t>
      </w:r>
      <w:r w:rsidRPr="00507A21">
        <w:tab/>
      </w:r>
    </w:p>
    <w:p w14:paraId="2E351560" w14:textId="77777777" w:rsidR="009D087E" w:rsidRPr="009D087E" w:rsidRDefault="00674AE1" w:rsidP="00B40119">
      <w:pPr>
        <w:pStyle w:val="TOC1"/>
        <w:rPr>
          <w:rFonts w:cs="Tahoma"/>
          <w:sz w:val="24"/>
          <w:szCs w:val="24"/>
        </w:rPr>
      </w:pPr>
      <w:bookmarkStart w:id="47" w:name="_Toc229983566"/>
      <w:bookmarkStart w:id="48" w:name="_Toc230935786"/>
      <w:bookmarkStart w:id="49" w:name="_Toc231911229"/>
      <w:bookmarkStart w:id="50" w:name="_Toc481569610"/>
      <w:bookmarkStart w:id="51" w:name="_Toc481570193"/>
      <w:bookmarkStart w:id="52" w:name="_Toc12770880"/>
      <w:r w:rsidRPr="00D8438C">
        <w:lastRenderedPageBreak/>
        <w:t>Table of Contents</w:t>
      </w:r>
      <w:bookmarkEnd w:id="47"/>
      <w:bookmarkEnd w:id="48"/>
      <w:bookmarkEnd w:id="49"/>
      <w:r w:rsidRPr="00513398">
        <w:rPr>
          <w:rFonts w:eastAsiaTheme="minorEastAsia" w:cs="Tahoma"/>
          <w:noProof w:val="0"/>
          <w:kern w:val="28"/>
          <w:sz w:val="24"/>
          <w:szCs w:val="24"/>
          <w:shd w:val="clear" w:color="auto" w:fill="E6E6E6"/>
        </w:rPr>
        <w:fldChar w:fldCharType="begin"/>
      </w:r>
      <w:r w:rsidRPr="00513398">
        <w:rPr>
          <w:rFonts w:cs="Tahoma"/>
          <w:sz w:val="24"/>
          <w:szCs w:val="24"/>
          <w:shd w:val="clear" w:color="auto" w:fill="E6E6E6"/>
        </w:rPr>
        <w:instrText xml:space="preserve"> TOC \o "2-4" \t "Heading 1,1" </w:instrText>
      </w:r>
      <w:r w:rsidRPr="00513398">
        <w:rPr>
          <w:rFonts w:eastAsiaTheme="minorEastAsia" w:cs="Tahoma"/>
          <w:noProof w:val="0"/>
          <w:kern w:val="28"/>
          <w:sz w:val="24"/>
          <w:szCs w:val="24"/>
          <w:shd w:val="clear" w:color="auto" w:fill="E6E6E6"/>
        </w:rPr>
        <w:fldChar w:fldCharType="separate"/>
      </w:r>
    </w:p>
    <w:p w14:paraId="22E8E67E" w14:textId="3F054798" w:rsidR="009D087E" w:rsidRPr="009D087E" w:rsidRDefault="009D087E">
      <w:pPr>
        <w:pStyle w:val="TOC2"/>
        <w:rPr>
          <w:rFonts w:eastAsiaTheme="minorEastAsia" w:cs="Tahoma"/>
          <w:b w:val="0"/>
          <w:bCs w:val="0"/>
          <w:smallCaps w:val="0"/>
          <w:kern w:val="2"/>
          <w:szCs w:val="24"/>
          <w14:ligatures w14:val="standardContextual"/>
        </w:rPr>
      </w:pPr>
      <w:r w:rsidRPr="009D087E">
        <w:rPr>
          <w:rFonts w:cs="Tahoma"/>
          <w:szCs w:val="24"/>
        </w:rPr>
        <w:t>I: Introduction</w:t>
      </w:r>
      <w:r w:rsidRPr="009D087E">
        <w:rPr>
          <w:rFonts w:cs="Tahoma"/>
          <w:szCs w:val="24"/>
        </w:rPr>
        <w:tab/>
      </w:r>
      <w:r w:rsidRPr="009D087E">
        <w:rPr>
          <w:rFonts w:cs="Tahoma"/>
          <w:szCs w:val="24"/>
        </w:rPr>
        <w:fldChar w:fldCharType="begin"/>
      </w:r>
      <w:r w:rsidRPr="009D087E">
        <w:rPr>
          <w:rFonts w:cs="Tahoma"/>
          <w:szCs w:val="24"/>
        </w:rPr>
        <w:instrText xml:space="preserve"> PAGEREF _Toc243558497 \h </w:instrText>
      </w:r>
      <w:r w:rsidRPr="009D087E">
        <w:rPr>
          <w:rFonts w:cs="Tahoma"/>
          <w:szCs w:val="24"/>
        </w:rPr>
      </w:r>
      <w:r w:rsidRPr="009D087E">
        <w:rPr>
          <w:rFonts w:cs="Tahoma"/>
          <w:szCs w:val="24"/>
        </w:rPr>
        <w:fldChar w:fldCharType="separate"/>
      </w:r>
      <w:r w:rsidRPr="009D087E">
        <w:rPr>
          <w:rFonts w:cs="Tahoma"/>
          <w:szCs w:val="24"/>
        </w:rPr>
        <w:t>1</w:t>
      </w:r>
      <w:r w:rsidRPr="009D087E">
        <w:rPr>
          <w:rFonts w:cs="Tahoma"/>
          <w:szCs w:val="24"/>
        </w:rPr>
        <w:fldChar w:fldCharType="end"/>
      </w:r>
    </w:p>
    <w:p w14:paraId="5BDF26EB" w14:textId="14339964"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A.</w:t>
      </w:r>
      <w:r w:rsidRPr="009D087E">
        <w:rPr>
          <w:rFonts w:eastAsiaTheme="minorEastAsia" w:cs="Tahoma"/>
          <w:iCs w:val="0"/>
          <w:noProof/>
          <w:kern w:val="2"/>
          <w:szCs w:val="24"/>
          <w14:ligatures w14:val="standardContextual"/>
        </w:rPr>
        <w:tab/>
      </w:r>
      <w:r w:rsidRPr="009D087E">
        <w:rPr>
          <w:rFonts w:cs="Tahoma"/>
          <w:noProof/>
          <w:szCs w:val="24"/>
        </w:rPr>
        <w:t>Purpose of Solicitation</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_Toc243558498 \h </w:instrText>
      </w:r>
      <w:r w:rsidRPr="009D087E">
        <w:rPr>
          <w:rFonts w:cs="Tahoma"/>
          <w:noProof/>
          <w:szCs w:val="24"/>
        </w:rPr>
      </w:r>
      <w:r w:rsidRPr="009D087E">
        <w:rPr>
          <w:rFonts w:cs="Tahoma"/>
          <w:noProof/>
          <w:szCs w:val="24"/>
        </w:rPr>
        <w:fldChar w:fldCharType="separate"/>
      </w:r>
      <w:r w:rsidRPr="009D087E">
        <w:rPr>
          <w:rFonts w:cs="Tahoma"/>
          <w:noProof/>
          <w:szCs w:val="24"/>
        </w:rPr>
        <w:t>1</w:t>
      </w:r>
      <w:r w:rsidRPr="009D087E">
        <w:rPr>
          <w:rFonts w:cs="Tahoma"/>
          <w:noProof/>
          <w:szCs w:val="24"/>
        </w:rPr>
        <w:fldChar w:fldCharType="end"/>
      </w:r>
    </w:p>
    <w:p w14:paraId="1AE4F996" w14:textId="4A99343E"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B.</w:t>
      </w:r>
      <w:r w:rsidRPr="009D087E">
        <w:rPr>
          <w:rFonts w:eastAsiaTheme="minorEastAsia" w:cs="Tahoma"/>
          <w:iCs w:val="0"/>
          <w:noProof/>
          <w:kern w:val="2"/>
          <w:szCs w:val="24"/>
          <w14:ligatures w14:val="standardContextual"/>
        </w:rPr>
        <w:tab/>
      </w:r>
      <w:r w:rsidRPr="009D087E">
        <w:rPr>
          <w:rFonts w:cs="Tahoma"/>
          <w:noProof/>
          <w:szCs w:val="24"/>
        </w:rPr>
        <w:t>Background</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_Toc243558499 \h </w:instrText>
      </w:r>
      <w:r w:rsidRPr="009D087E">
        <w:rPr>
          <w:rFonts w:cs="Tahoma"/>
          <w:noProof/>
          <w:szCs w:val="24"/>
        </w:rPr>
      </w:r>
      <w:r w:rsidRPr="009D087E">
        <w:rPr>
          <w:rFonts w:cs="Tahoma"/>
          <w:noProof/>
          <w:szCs w:val="24"/>
        </w:rPr>
        <w:fldChar w:fldCharType="separate"/>
      </w:r>
      <w:r w:rsidRPr="009D087E">
        <w:rPr>
          <w:rFonts w:cs="Tahoma"/>
          <w:noProof/>
          <w:szCs w:val="24"/>
        </w:rPr>
        <w:t>1</w:t>
      </w:r>
      <w:r w:rsidRPr="009D087E">
        <w:rPr>
          <w:rFonts w:cs="Tahoma"/>
          <w:noProof/>
          <w:szCs w:val="24"/>
        </w:rPr>
        <w:fldChar w:fldCharType="end"/>
      </w:r>
    </w:p>
    <w:p w14:paraId="5D47BEC4" w14:textId="4971640C"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C.</w:t>
      </w:r>
      <w:r w:rsidRPr="009D087E">
        <w:rPr>
          <w:rFonts w:eastAsiaTheme="minorEastAsia" w:cs="Tahoma"/>
          <w:iCs w:val="0"/>
          <w:noProof/>
          <w:kern w:val="2"/>
          <w:szCs w:val="24"/>
          <w14:ligatures w14:val="standardContextual"/>
        </w:rPr>
        <w:tab/>
      </w:r>
      <w:r w:rsidRPr="009D087E">
        <w:rPr>
          <w:rFonts w:cs="Tahoma"/>
          <w:noProof/>
          <w:szCs w:val="24"/>
        </w:rPr>
        <w:t>Definitions of Keywords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_Toc243558500 \h </w:instrText>
      </w:r>
      <w:r w:rsidRPr="009D087E">
        <w:rPr>
          <w:rFonts w:cs="Tahoma"/>
          <w:noProof/>
          <w:szCs w:val="24"/>
        </w:rPr>
      </w:r>
      <w:r w:rsidRPr="009D087E">
        <w:rPr>
          <w:rFonts w:cs="Tahoma"/>
          <w:noProof/>
          <w:szCs w:val="24"/>
        </w:rPr>
        <w:fldChar w:fldCharType="separate"/>
      </w:r>
      <w:r w:rsidRPr="009D087E">
        <w:rPr>
          <w:rFonts w:cs="Tahoma"/>
          <w:noProof/>
          <w:szCs w:val="24"/>
        </w:rPr>
        <w:t>3</w:t>
      </w:r>
      <w:r w:rsidRPr="009D087E">
        <w:rPr>
          <w:rFonts w:cs="Tahoma"/>
          <w:noProof/>
          <w:szCs w:val="24"/>
        </w:rPr>
        <w:fldChar w:fldCharType="end"/>
      </w:r>
    </w:p>
    <w:p w14:paraId="246E45CA" w14:textId="0C421219"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D.</w:t>
      </w:r>
      <w:r w:rsidRPr="009D087E">
        <w:rPr>
          <w:rFonts w:eastAsiaTheme="minorEastAsia" w:cs="Tahoma"/>
          <w:iCs w:val="0"/>
          <w:noProof/>
          <w:kern w:val="2"/>
          <w:szCs w:val="24"/>
          <w14:ligatures w14:val="standardContextual"/>
        </w:rPr>
        <w:tab/>
      </w:r>
      <w:r w:rsidRPr="009D087E">
        <w:rPr>
          <w:rFonts w:cs="Tahoma"/>
          <w:noProof/>
          <w:szCs w:val="24"/>
        </w:rPr>
        <w:t>Key Activities and Dates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_Toc243558501 \h </w:instrText>
      </w:r>
      <w:r w:rsidRPr="009D087E">
        <w:rPr>
          <w:rFonts w:cs="Tahoma"/>
          <w:noProof/>
          <w:szCs w:val="24"/>
        </w:rPr>
      </w:r>
      <w:r w:rsidRPr="009D087E">
        <w:rPr>
          <w:rFonts w:cs="Tahoma"/>
          <w:noProof/>
          <w:szCs w:val="24"/>
        </w:rPr>
        <w:fldChar w:fldCharType="separate"/>
      </w:r>
      <w:r w:rsidRPr="009D087E">
        <w:rPr>
          <w:rFonts w:cs="Tahoma"/>
          <w:noProof/>
          <w:szCs w:val="24"/>
        </w:rPr>
        <w:t>8</w:t>
      </w:r>
      <w:r w:rsidRPr="009D087E">
        <w:rPr>
          <w:rFonts w:cs="Tahoma"/>
          <w:noProof/>
          <w:szCs w:val="24"/>
        </w:rPr>
        <w:fldChar w:fldCharType="end"/>
      </w:r>
    </w:p>
    <w:p w14:paraId="35780F08" w14:textId="7012A3F7"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E.</w:t>
      </w:r>
      <w:r w:rsidRPr="009D087E">
        <w:rPr>
          <w:rFonts w:eastAsiaTheme="minorEastAsia" w:cs="Tahoma"/>
          <w:iCs w:val="0"/>
          <w:noProof/>
          <w:kern w:val="2"/>
          <w:szCs w:val="24"/>
          <w14:ligatures w14:val="standardContextual"/>
        </w:rPr>
        <w:tab/>
      </w:r>
      <w:r w:rsidRPr="009D087E">
        <w:rPr>
          <w:rFonts w:cs="Tahoma"/>
          <w:noProof/>
          <w:szCs w:val="24"/>
        </w:rPr>
        <w:t>Funding</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_Toc243558502 \h </w:instrText>
      </w:r>
      <w:r w:rsidRPr="009D087E">
        <w:rPr>
          <w:rFonts w:cs="Tahoma"/>
          <w:noProof/>
          <w:szCs w:val="24"/>
        </w:rPr>
      </w:r>
      <w:r w:rsidRPr="009D087E">
        <w:rPr>
          <w:rFonts w:cs="Tahoma"/>
          <w:noProof/>
          <w:szCs w:val="24"/>
        </w:rPr>
        <w:fldChar w:fldCharType="separate"/>
      </w:r>
      <w:r w:rsidRPr="009D087E">
        <w:rPr>
          <w:rFonts w:cs="Tahoma"/>
          <w:noProof/>
          <w:szCs w:val="24"/>
        </w:rPr>
        <w:t>9</w:t>
      </w:r>
      <w:r w:rsidRPr="009D087E">
        <w:rPr>
          <w:rFonts w:cs="Tahoma"/>
          <w:noProof/>
          <w:szCs w:val="24"/>
        </w:rPr>
        <w:fldChar w:fldCharType="end"/>
      </w:r>
    </w:p>
    <w:p w14:paraId="59E565AB" w14:textId="421B778B"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Amount Available and Minimum/Maximum Funding Amounts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_Toc243558503 \h </w:instrText>
      </w:r>
      <w:r w:rsidRPr="009D087E">
        <w:rPr>
          <w:rFonts w:ascii="Tahoma" w:hAnsi="Tahoma" w:cs="Tahoma"/>
        </w:rPr>
      </w:r>
      <w:r w:rsidRPr="009D087E">
        <w:rPr>
          <w:rFonts w:ascii="Tahoma" w:hAnsi="Tahoma" w:cs="Tahoma"/>
        </w:rPr>
        <w:fldChar w:fldCharType="separate"/>
      </w:r>
      <w:r w:rsidRPr="009D087E">
        <w:rPr>
          <w:rFonts w:ascii="Tahoma" w:hAnsi="Tahoma" w:cs="Tahoma"/>
        </w:rPr>
        <w:t>9</w:t>
      </w:r>
      <w:r w:rsidRPr="009D087E">
        <w:rPr>
          <w:rFonts w:ascii="Tahoma" w:hAnsi="Tahoma" w:cs="Tahoma"/>
        </w:rPr>
        <w:fldChar w:fldCharType="end"/>
      </w:r>
    </w:p>
    <w:p w14:paraId="507A4110" w14:textId="0B6A1C71"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Award Funding and Disbursement Process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_Toc243558504 \h </w:instrText>
      </w:r>
      <w:r w:rsidRPr="009D087E">
        <w:rPr>
          <w:rFonts w:ascii="Tahoma" w:hAnsi="Tahoma" w:cs="Tahoma"/>
        </w:rPr>
      </w:r>
      <w:r w:rsidRPr="009D087E">
        <w:rPr>
          <w:rFonts w:ascii="Tahoma" w:hAnsi="Tahoma" w:cs="Tahoma"/>
        </w:rPr>
        <w:fldChar w:fldCharType="separate"/>
      </w:r>
      <w:r w:rsidRPr="009D087E">
        <w:rPr>
          <w:rFonts w:ascii="Tahoma" w:hAnsi="Tahoma" w:cs="Tahoma"/>
        </w:rPr>
        <w:t>10</w:t>
      </w:r>
      <w:r w:rsidRPr="009D087E">
        <w:rPr>
          <w:rFonts w:ascii="Tahoma" w:hAnsi="Tahoma" w:cs="Tahoma"/>
        </w:rPr>
        <w:fldChar w:fldCharType="end"/>
      </w:r>
    </w:p>
    <w:p w14:paraId="7D1EEAE2" w14:textId="768D6DDD"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Allowable Costs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_Toc243558505 \h </w:instrText>
      </w:r>
      <w:r w:rsidRPr="009D087E">
        <w:rPr>
          <w:rFonts w:ascii="Tahoma" w:hAnsi="Tahoma" w:cs="Tahoma"/>
        </w:rPr>
      </w:r>
      <w:r w:rsidRPr="009D087E">
        <w:rPr>
          <w:rFonts w:ascii="Tahoma" w:hAnsi="Tahoma" w:cs="Tahoma"/>
        </w:rPr>
        <w:fldChar w:fldCharType="separate"/>
      </w:r>
      <w:r w:rsidRPr="009D087E">
        <w:rPr>
          <w:rFonts w:ascii="Tahoma" w:hAnsi="Tahoma" w:cs="Tahoma"/>
        </w:rPr>
        <w:t>11</w:t>
      </w:r>
      <w:r w:rsidRPr="009D087E">
        <w:rPr>
          <w:rFonts w:ascii="Tahoma" w:hAnsi="Tahoma" w:cs="Tahoma"/>
        </w:rPr>
        <w:fldChar w:fldCharType="end"/>
      </w:r>
    </w:p>
    <w:p w14:paraId="2625EBC5" w14:textId="461DC61D"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4.</w:t>
      </w:r>
      <w:r w:rsidRPr="009D087E">
        <w:rPr>
          <w:rFonts w:ascii="Tahoma" w:eastAsiaTheme="minorEastAsia" w:hAnsi="Tahoma" w:cs="Tahoma"/>
          <w:kern w:val="2"/>
          <w14:ligatures w14:val="standardContextual"/>
        </w:rPr>
        <w:tab/>
      </w:r>
      <w:r w:rsidRPr="009D087E">
        <w:rPr>
          <w:rFonts w:ascii="Tahoma" w:hAnsi="Tahoma" w:cs="Tahoma"/>
        </w:rPr>
        <w:t>Unallowable Costs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_Toc243558506 \h </w:instrText>
      </w:r>
      <w:r w:rsidRPr="009D087E">
        <w:rPr>
          <w:rFonts w:ascii="Tahoma" w:hAnsi="Tahoma" w:cs="Tahoma"/>
        </w:rPr>
      </w:r>
      <w:r w:rsidRPr="009D087E">
        <w:rPr>
          <w:rFonts w:ascii="Tahoma" w:hAnsi="Tahoma" w:cs="Tahoma"/>
        </w:rPr>
        <w:fldChar w:fldCharType="separate"/>
      </w:r>
      <w:r w:rsidRPr="009D087E">
        <w:rPr>
          <w:rFonts w:ascii="Tahoma" w:hAnsi="Tahoma" w:cs="Tahoma"/>
        </w:rPr>
        <w:t>11</w:t>
      </w:r>
      <w:r w:rsidRPr="009D087E">
        <w:rPr>
          <w:rFonts w:ascii="Tahoma" w:hAnsi="Tahoma" w:cs="Tahoma"/>
        </w:rPr>
        <w:fldChar w:fldCharType="end"/>
      </w:r>
    </w:p>
    <w:p w14:paraId="17D2AE39" w14:textId="5C5D3307"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5.</w:t>
      </w:r>
      <w:r w:rsidRPr="009D087E">
        <w:rPr>
          <w:rFonts w:ascii="Tahoma" w:eastAsiaTheme="minorEastAsia" w:hAnsi="Tahoma" w:cs="Tahoma"/>
          <w:kern w:val="2"/>
          <w14:ligatures w14:val="standardContextual"/>
        </w:rPr>
        <w:tab/>
      </w:r>
      <w:r w:rsidRPr="009D087E">
        <w:rPr>
          <w:rFonts w:ascii="Tahoma" w:hAnsi="Tahoma" w:cs="Tahoma"/>
        </w:rPr>
        <w:t>Match Funding Requirement</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_Toc243558507 \h </w:instrText>
      </w:r>
      <w:r w:rsidRPr="009D087E">
        <w:rPr>
          <w:rFonts w:ascii="Tahoma" w:hAnsi="Tahoma" w:cs="Tahoma"/>
        </w:rPr>
      </w:r>
      <w:r w:rsidRPr="009D087E">
        <w:rPr>
          <w:rFonts w:ascii="Tahoma" w:hAnsi="Tahoma" w:cs="Tahoma"/>
        </w:rPr>
        <w:fldChar w:fldCharType="separate"/>
      </w:r>
      <w:r w:rsidRPr="009D087E">
        <w:rPr>
          <w:rFonts w:ascii="Tahoma" w:hAnsi="Tahoma" w:cs="Tahoma"/>
        </w:rPr>
        <w:t>12</w:t>
      </w:r>
      <w:r w:rsidRPr="009D087E">
        <w:rPr>
          <w:rFonts w:ascii="Tahoma" w:hAnsi="Tahoma" w:cs="Tahoma"/>
        </w:rPr>
        <w:fldChar w:fldCharType="end"/>
      </w:r>
    </w:p>
    <w:p w14:paraId="08728964" w14:textId="098A39C2"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6.</w:t>
      </w:r>
      <w:r w:rsidRPr="009D087E">
        <w:rPr>
          <w:rFonts w:ascii="Tahoma" w:eastAsiaTheme="minorEastAsia" w:hAnsi="Tahoma" w:cs="Tahoma"/>
          <w:kern w:val="2"/>
          <w14:ligatures w14:val="standardContextual"/>
        </w:rPr>
        <w:tab/>
      </w:r>
      <w:r w:rsidRPr="009D087E">
        <w:rPr>
          <w:rFonts w:ascii="Tahoma" w:hAnsi="Tahoma" w:cs="Tahoma"/>
        </w:rPr>
        <w:t>Match Share Restrictions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_Toc243558508 \h </w:instrText>
      </w:r>
      <w:r w:rsidRPr="009D087E">
        <w:rPr>
          <w:rFonts w:ascii="Tahoma" w:hAnsi="Tahoma" w:cs="Tahoma"/>
        </w:rPr>
      </w:r>
      <w:r w:rsidRPr="009D087E">
        <w:rPr>
          <w:rFonts w:ascii="Tahoma" w:hAnsi="Tahoma" w:cs="Tahoma"/>
        </w:rPr>
        <w:fldChar w:fldCharType="separate"/>
      </w:r>
      <w:r w:rsidRPr="009D087E">
        <w:rPr>
          <w:rFonts w:ascii="Tahoma" w:hAnsi="Tahoma" w:cs="Tahoma"/>
        </w:rPr>
        <w:t>14</w:t>
      </w:r>
      <w:r w:rsidRPr="009D087E">
        <w:rPr>
          <w:rFonts w:ascii="Tahoma" w:hAnsi="Tahoma" w:cs="Tahoma"/>
        </w:rPr>
        <w:fldChar w:fldCharType="end"/>
      </w:r>
    </w:p>
    <w:p w14:paraId="2D0D7C26" w14:textId="22A2C98A"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7.</w:t>
      </w:r>
      <w:r w:rsidRPr="009D087E">
        <w:rPr>
          <w:rFonts w:ascii="Tahoma" w:eastAsiaTheme="minorEastAsia" w:hAnsi="Tahoma" w:cs="Tahoma"/>
          <w:kern w:val="2"/>
          <w14:ligatures w14:val="standardContextual"/>
        </w:rPr>
        <w:tab/>
      </w:r>
      <w:r w:rsidRPr="009D087E">
        <w:rPr>
          <w:rFonts w:ascii="Tahoma" w:hAnsi="Tahoma" w:cs="Tahoma"/>
        </w:rPr>
        <w:t>Proposition 4 Funding Restrictions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_Toc243558509 \h </w:instrText>
      </w:r>
      <w:r w:rsidRPr="009D087E">
        <w:rPr>
          <w:rFonts w:ascii="Tahoma" w:hAnsi="Tahoma" w:cs="Tahoma"/>
        </w:rPr>
      </w:r>
      <w:r w:rsidRPr="009D087E">
        <w:rPr>
          <w:rFonts w:ascii="Tahoma" w:hAnsi="Tahoma" w:cs="Tahoma"/>
        </w:rPr>
        <w:fldChar w:fldCharType="separate"/>
      </w:r>
      <w:r w:rsidRPr="009D087E">
        <w:rPr>
          <w:rFonts w:ascii="Tahoma" w:hAnsi="Tahoma" w:cs="Tahoma"/>
        </w:rPr>
        <w:t>15</w:t>
      </w:r>
      <w:r w:rsidRPr="009D087E">
        <w:rPr>
          <w:rFonts w:ascii="Tahoma" w:hAnsi="Tahoma" w:cs="Tahoma"/>
        </w:rPr>
        <w:fldChar w:fldCharType="end"/>
      </w:r>
    </w:p>
    <w:p w14:paraId="796087D5" w14:textId="772A2FB5"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8.</w:t>
      </w:r>
      <w:r w:rsidRPr="009D087E">
        <w:rPr>
          <w:rFonts w:ascii="Tahoma" w:eastAsiaTheme="minorEastAsia" w:hAnsi="Tahoma" w:cs="Tahoma"/>
          <w:kern w:val="2"/>
          <w14:ligatures w14:val="standardContextual"/>
        </w:rPr>
        <w:tab/>
      </w:r>
      <w:r w:rsidRPr="009D087E">
        <w:rPr>
          <w:rFonts w:ascii="Tahoma" w:hAnsi="Tahoma" w:cs="Tahoma"/>
        </w:rPr>
        <w:t>Change in Funding Amount</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_Toc243558510 \h </w:instrText>
      </w:r>
      <w:r w:rsidRPr="009D087E">
        <w:rPr>
          <w:rFonts w:ascii="Tahoma" w:hAnsi="Tahoma" w:cs="Tahoma"/>
        </w:rPr>
      </w:r>
      <w:r w:rsidRPr="009D087E">
        <w:rPr>
          <w:rFonts w:ascii="Tahoma" w:hAnsi="Tahoma" w:cs="Tahoma"/>
        </w:rPr>
        <w:fldChar w:fldCharType="separate"/>
      </w:r>
      <w:r w:rsidRPr="009D087E">
        <w:rPr>
          <w:rFonts w:ascii="Tahoma" w:hAnsi="Tahoma" w:cs="Tahoma"/>
        </w:rPr>
        <w:t>15</w:t>
      </w:r>
      <w:r w:rsidRPr="009D087E">
        <w:rPr>
          <w:rFonts w:ascii="Tahoma" w:hAnsi="Tahoma" w:cs="Tahoma"/>
        </w:rPr>
        <w:fldChar w:fldCharType="end"/>
      </w:r>
    </w:p>
    <w:p w14:paraId="0747E1E8" w14:textId="044D02A6"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F.</w:t>
      </w:r>
      <w:r w:rsidRPr="009D087E">
        <w:rPr>
          <w:rFonts w:eastAsiaTheme="minorEastAsia" w:cs="Tahoma"/>
          <w:iCs w:val="0"/>
          <w:noProof/>
          <w:kern w:val="2"/>
          <w:szCs w:val="24"/>
          <w14:ligatures w14:val="standardContextual"/>
        </w:rPr>
        <w:tab/>
      </w:r>
      <w:r w:rsidRPr="009D087E">
        <w:rPr>
          <w:rFonts w:cs="Tahoma"/>
          <w:noProof/>
          <w:szCs w:val="24"/>
        </w:rPr>
        <w:t>Notice of Pre-Application Workshop</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_Toc243558511 \h </w:instrText>
      </w:r>
      <w:r w:rsidRPr="009D087E">
        <w:rPr>
          <w:rFonts w:cs="Tahoma"/>
          <w:noProof/>
          <w:szCs w:val="24"/>
        </w:rPr>
      </w:r>
      <w:r w:rsidRPr="009D087E">
        <w:rPr>
          <w:rFonts w:cs="Tahoma"/>
          <w:noProof/>
          <w:szCs w:val="24"/>
        </w:rPr>
        <w:fldChar w:fldCharType="separate"/>
      </w:r>
      <w:r w:rsidRPr="009D087E">
        <w:rPr>
          <w:rFonts w:cs="Tahoma"/>
          <w:noProof/>
          <w:szCs w:val="24"/>
        </w:rPr>
        <w:t>15</w:t>
      </w:r>
      <w:r w:rsidRPr="009D087E">
        <w:rPr>
          <w:rFonts w:cs="Tahoma"/>
          <w:noProof/>
          <w:szCs w:val="24"/>
        </w:rPr>
        <w:fldChar w:fldCharType="end"/>
      </w:r>
    </w:p>
    <w:p w14:paraId="6BB22791" w14:textId="5490573E"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G.</w:t>
      </w:r>
      <w:r w:rsidRPr="009D087E">
        <w:rPr>
          <w:rFonts w:eastAsiaTheme="minorEastAsia" w:cs="Tahoma"/>
          <w:iCs w:val="0"/>
          <w:noProof/>
          <w:kern w:val="2"/>
          <w:szCs w:val="24"/>
          <w14:ligatures w14:val="standardContextual"/>
        </w:rPr>
        <w:tab/>
      </w:r>
      <w:r w:rsidRPr="009D087E">
        <w:rPr>
          <w:rFonts w:cs="Tahoma"/>
          <w:noProof/>
          <w:szCs w:val="24"/>
        </w:rPr>
        <w:t>Questions and Communication Restrictions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_Toc243558512 \h </w:instrText>
      </w:r>
      <w:r w:rsidRPr="009D087E">
        <w:rPr>
          <w:rFonts w:cs="Tahoma"/>
          <w:noProof/>
          <w:szCs w:val="24"/>
        </w:rPr>
      </w:r>
      <w:r w:rsidRPr="009D087E">
        <w:rPr>
          <w:rFonts w:cs="Tahoma"/>
          <w:noProof/>
          <w:szCs w:val="24"/>
        </w:rPr>
        <w:fldChar w:fldCharType="separate"/>
      </w:r>
      <w:r w:rsidRPr="009D087E">
        <w:rPr>
          <w:rFonts w:cs="Tahoma"/>
          <w:noProof/>
          <w:szCs w:val="24"/>
        </w:rPr>
        <w:t>16</w:t>
      </w:r>
      <w:r w:rsidRPr="009D087E">
        <w:rPr>
          <w:rFonts w:cs="Tahoma"/>
          <w:noProof/>
          <w:szCs w:val="24"/>
        </w:rPr>
        <w:fldChar w:fldCharType="end"/>
      </w:r>
    </w:p>
    <w:p w14:paraId="2CA4DEE9" w14:textId="3E753A90"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H.</w:t>
      </w:r>
      <w:r w:rsidRPr="009D087E">
        <w:rPr>
          <w:rFonts w:eastAsiaTheme="minorEastAsia" w:cs="Tahoma"/>
          <w:iCs w:val="0"/>
          <w:noProof/>
          <w:kern w:val="2"/>
          <w:szCs w:val="24"/>
          <w14:ligatures w14:val="standardContextual"/>
        </w:rPr>
        <w:tab/>
      </w:r>
      <w:r w:rsidRPr="009D087E">
        <w:rPr>
          <w:rFonts w:cs="Tahoma"/>
          <w:noProof/>
          <w:szCs w:val="24"/>
        </w:rPr>
        <w:t>Agreement Contingent on Funding Availability</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_Toc243558513 \h </w:instrText>
      </w:r>
      <w:r w:rsidRPr="009D087E">
        <w:rPr>
          <w:rFonts w:cs="Tahoma"/>
          <w:noProof/>
          <w:szCs w:val="24"/>
        </w:rPr>
      </w:r>
      <w:r w:rsidRPr="009D087E">
        <w:rPr>
          <w:rFonts w:cs="Tahoma"/>
          <w:noProof/>
          <w:szCs w:val="24"/>
        </w:rPr>
        <w:fldChar w:fldCharType="separate"/>
      </w:r>
      <w:r w:rsidRPr="009D087E">
        <w:rPr>
          <w:rFonts w:cs="Tahoma"/>
          <w:noProof/>
          <w:szCs w:val="24"/>
        </w:rPr>
        <w:t>17</w:t>
      </w:r>
      <w:r w:rsidRPr="009D087E">
        <w:rPr>
          <w:rFonts w:cs="Tahoma"/>
          <w:noProof/>
          <w:szCs w:val="24"/>
        </w:rPr>
        <w:fldChar w:fldCharType="end"/>
      </w:r>
    </w:p>
    <w:p w14:paraId="4C086696" w14:textId="033078D0" w:rsidR="009D087E" w:rsidRPr="009D087E" w:rsidRDefault="009D087E">
      <w:pPr>
        <w:pStyle w:val="TOC2"/>
        <w:rPr>
          <w:rFonts w:eastAsiaTheme="minorEastAsia" w:cs="Tahoma"/>
          <w:b w:val="0"/>
          <w:bCs w:val="0"/>
          <w:smallCaps w:val="0"/>
          <w:kern w:val="2"/>
          <w:szCs w:val="24"/>
          <w14:ligatures w14:val="standardContextual"/>
        </w:rPr>
      </w:pPr>
      <w:r w:rsidRPr="009D087E">
        <w:rPr>
          <w:rFonts w:cs="Tahoma"/>
          <w:szCs w:val="24"/>
        </w:rPr>
        <w:t>II: Application Requirements</w:t>
      </w:r>
      <w:r w:rsidRPr="009D087E">
        <w:rPr>
          <w:rFonts w:cs="Tahoma"/>
          <w:szCs w:val="24"/>
        </w:rPr>
        <w:tab/>
      </w:r>
      <w:r w:rsidRPr="009D087E">
        <w:rPr>
          <w:rFonts w:cs="Tahoma"/>
          <w:szCs w:val="24"/>
        </w:rPr>
        <w:fldChar w:fldCharType="begin"/>
      </w:r>
      <w:r w:rsidRPr="009D087E">
        <w:rPr>
          <w:rFonts w:cs="Tahoma"/>
          <w:szCs w:val="24"/>
        </w:rPr>
        <w:instrText xml:space="preserve"> PAGEREF _Toc243558514 \h </w:instrText>
      </w:r>
      <w:r w:rsidRPr="009D087E">
        <w:rPr>
          <w:rFonts w:cs="Tahoma"/>
          <w:szCs w:val="24"/>
        </w:rPr>
      </w:r>
      <w:r w:rsidRPr="009D087E">
        <w:rPr>
          <w:rFonts w:cs="Tahoma"/>
          <w:szCs w:val="24"/>
        </w:rPr>
        <w:fldChar w:fldCharType="separate"/>
      </w:r>
      <w:r w:rsidRPr="009D087E">
        <w:rPr>
          <w:rFonts w:cs="Tahoma"/>
          <w:szCs w:val="24"/>
        </w:rPr>
        <w:t>18</w:t>
      </w:r>
      <w:r w:rsidRPr="009D087E">
        <w:rPr>
          <w:rFonts w:cs="Tahoma"/>
          <w:szCs w:val="24"/>
        </w:rPr>
        <w:fldChar w:fldCharType="end"/>
      </w:r>
    </w:p>
    <w:p w14:paraId="79546F71" w14:textId="28415537"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A.</w:t>
      </w:r>
      <w:r w:rsidRPr="009D087E">
        <w:rPr>
          <w:rFonts w:eastAsiaTheme="minorEastAsia" w:cs="Tahoma"/>
          <w:iCs w:val="0"/>
          <w:noProof/>
          <w:kern w:val="2"/>
          <w:szCs w:val="24"/>
          <w14:ligatures w14:val="standardContextual"/>
        </w:rPr>
        <w:tab/>
      </w:r>
      <w:r w:rsidRPr="009D087E">
        <w:rPr>
          <w:rFonts w:cs="Tahoma"/>
          <w:noProof/>
          <w:szCs w:val="24"/>
        </w:rPr>
        <w:t>Applicant Requirements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_Toc243558515 \h </w:instrText>
      </w:r>
      <w:r w:rsidRPr="009D087E">
        <w:rPr>
          <w:rFonts w:cs="Tahoma"/>
          <w:noProof/>
          <w:szCs w:val="24"/>
        </w:rPr>
      </w:r>
      <w:r w:rsidRPr="009D087E">
        <w:rPr>
          <w:rFonts w:cs="Tahoma"/>
          <w:noProof/>
          <w:szCs w:val="24"/>
        </w:rPr>
        <w:fldChar w:fldCharType="separate"/>
      </w:r>
      <w:r w:rsidRPr="009D087E">
        <w:rPr>
          <w:rFonts w:cs="Tahoma"/>
          <w:noProof/>
          <w:szCs w:val="24"/>
        </w:rPr>
        <w:t>18</w:t>
      </w:r>
      <w:r w:rsidRPr="009D087E">
        <w:rPr>
          <w:rFonts w:cs="Tahoma"/>
          <w:noProof/>
          <w:szCs w:val="24"/>
        </w:rPr>
        <w:fldChar w:fldCharType="end"/>
      </w:r>
    </w:p>
    <w:p w14:paraId="374431EB" w14:textId="5AF4B3D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Eligibility</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_Toc243558516 \h </w:instrText>
      </w:r>
      <w:r w:rsidRPr="009D087E">
        <w:rPr>
          <w:rFonts w:ascii="Tahoma" w:hAnsi="Tahoma" w:cs="Tahoma"/>
        </w:rPr>
      </w:r>
      <w:r w:rsidRPr="009D087E">
        <w:rPr>
          <w:rFonts w:ascii="Tahoma" w:hAnsi="Tahoma" w:cs="Tahoma"/>
        </w:rPr>
        <w:fldChar w:fldCharType="separate"/>
      </w:r>
      <w:r w:rsidRPr="009D087E">
        <w:rPr>
          <w:rFonts w:ascii="Tahoma" w:hAnsi="Tahoma" w:cs="Tahoma"/>
        </w:rPr>
        <w:t>18</w:t>
      </w:r>
      <w:r w:rsidRPr="009D087E">
        <w:rPr>
          <w:rFonts w:ascii="Tahoma" w:hAnsi="Tahoma" w:cs="Tahoma"/>
        </w:rPr>
        <w:fldChar w:fldCharType="end"/>
      </w:r>
    </w:p>
    <w:p w14:paraId="4E3BE58D" w14:textId="75F1B821"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Terms and Conditions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_Toc243558517 \h </w:instrText>
      </w:r>
      <w:r w:rsidRPr="009D087E">
        <w:rPr>
          <w:rFonts w:ascii="Tahoma" w:hAnsi="Tahoma" w:cs="Tahoma"/>
        </w:rPr>
      </w:r>
      <w:r w:rsidRPr="009D087E">
        <w:rPr>
          <w:rFonts w:ascii="Tahoma" w:hAnsi="Tahoma" w:cs="Tahoma"/>
        </w:rPr>
        <w:fldChar w:fldCharType="separate"/>
      </w:r>
      <w:r w:rsidRPr="009D087E">
        <w:rPr>
          <w:rFonts w:ascii="Tahoma" w:hAnsi="Tahoma" w:cs="Tahoma"/>
        </w:rPr>
        <w:t>18</w:t>
      </w:r>
      <w:r w:rsidRPr="009D087E">
        <w:rPr>
          <w:rFonts w:ascii="Tahoma" w:hAnsi="Tahoma" w:cs="Tahoma"/>
        </w:rPr>
        <w:fldChar w:fldCharType="end"/>
      </w:r>
    </w:p>
    <w:p w14:paraId="6AE2429D" w14:textId="0A92ADFA"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Tribal Requirements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_Toc243558518 \h </w:instrText>
      </w:r>
      <w:r w:rsidRPr="009D087E">
        <w:rPr>
          <w:rFonts w:ascii="Tahoma" w:hAnsi="Tahoma" w:cs="Tahoma"/>
        </w:rPr>
      </w:r>
      <w:r w:rsidRPr="009D087E">
        <w:rPr>
          <w:rFonts w:ascii="Tahoma" w:hAnsi="Tahoma" w:cs="Tahoma"/>
        </w:rPr>
        <w:fldChar w:fldCharType="separate"/>
      </w:r>
      <w:r w:rsidRPr="009D087E">
        <w:rPr>
          <w:rFonts w:ascii="Tahoma" w:hAnsi="Tahoma" w:cs="Tahoma"/>
        </w:rPr>
        <w:t>19</w:t>
      </w:r>
      <w:r w:rsidRPr="009D087E">
        <w:rPr>
          <w:rFonts w:ascii="Tahoma" w:hAnsi="Tahoma" w:cs="Tahoma"/>
        </w:rPr>
        <w:fldChar w:fldCharType="end"/>
      </w:r>
    </w:p>
    <w:p w14:paraId="05226C90" w14:textId="3B29110A"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4.</w:t>
      </w:r>
      <w:r w:rsidRPr="009D087E">
        <w:rPr>
          <w:rFonts w:ascii="Tahoma" w:eastAsiaTheme="minorEastAsia" w:hAnsi="Tahoma" w:cs="Tahoma"/>
          <w:kern w:val="2"/>
          <w14:ligatures w14:val="standardContextual"/>
        </w:rPr>
        <w:tab/>
      </w:r>
      <w:r w:rsidRPr="009D087E">
        <w:rPr>
          <w:rFonts w:ascii="Tahoma" w:hAnsi="Tahoma" w:cs="Tahoma"/>
        </w:rPr>
        <w:t>Delay in award</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_Toc243558519 \h </w:instrText>
      </w:r>
      <w:r w:rsidRPr="009D087E">
        <w:rPr>
          <w:rFonts w:ascii="Tahoma" w:hAnsi="Tahoma" w:cs="Tahoma"/>
        </w:rPr>
      </w:r>
      <w:r w:rsidRPr="009D087E">
        <w:rPr>
          <w:rFonts w:ascii="Tahoma" w:hAnsi="Tahoma" w:cs="Tahoma"/>
        </w:rPr>
        <w:fldChar w:fldCharType="separate"/>
      </w:r>
      <w:r w:rsidRPr="009D087E">
        <w:rPr>
          <w:rFonts w:ascii="Tahoma" w:hAnsi="Tahoma" w:cs="Tahoma"/>
        </w:rPr>
        <w:t>20</w:t>
      </w:r>
      <w:r w:rsidRPr="009D087E">
        <w:rPr>
          <w:rFonts w:ascii="Tahoma" w:hAnsi="Tahoma" w:cs="Tahoma"/>
        </w:rPr>
        <w:fldChar w:fldCharType="end"/>
      </w:r>
    </w:p>
    <w:p w14:paraId="14AB769B" w14:textId="437E0155"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5.</w:t>
      </w:r>
      <w:r w:rsidRPr="009D087E">
        <w:rPr>
          <w:rFonts w:ascii="Tahoma" w:eastAsiaTheme="minorEastAsia" w:hAnsi="Tahoma" w:cs="Tahoma"/>
          <w:kern w:val="2"/>
          <w14:ligatures w14:val="standardContextual"/>
        </w:rPr>
        <w:tab/>
      </w:r>
      <w:r w:rsidRPr="009D087E">
        <w:rPr>
          <w:rFonts w:ascii="Tahoma" w:hAnsi="Tahoma" w:cs="Tahoma"/>
        </w:rPr>
        <w:t>Reservation of Right to Cancel Proposed Award</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_Toc243558520 \h </w:instrText>
      </w:r>
      <w:r w:rsidRPr="009D087E">
        <w:rPr>
          <w:rFonts w:ascii="Tahoma" w:hAnsi="Tahoma" w:cs="Tahoma"/>
        </w:rPr>
      </w:r>
      <w:r w:rsidRPr="009D087E">
        <w:rPr>
          <w:rFonts w:ascii="Tahoma" w:hAnsi="Tahoma" w:cs="Tahoma"/>
        </w:rPr>
        <w:fldChar w:fldCharType="separate"/>
      </w:r>
      <w:r w:rsidRPr="009D087E">
        <w:rPr>
          <w:rFonts w:ascii="Tahoma" w:hAnsi="Tahoma" w:cs="Tahoma"/>
        </w:rPr>
        <w:t>20</w:t>
      </w:r>
      <w:r w:rsidRPr="009D087E">
        <w:rPr>
          <w:rFonts w:ascii="Tahoma" w:hAnsi="Tahoma" w:cs="Tahoma"/>
        </w:rPr>
        <w:fldChar w:fldCharType="end"/>
      </w:r>
    </w:p>
    <w:p w14:paraId="10F1C4D2" w14:textId="79FA5791"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6.</w:t>
      </w:r>
      <w:r w:rsidRPr="009D087E">
        <w:rPr>
          <w:rFonts w:ascii="Tahoma" w:eastAsiaTheme="minorEastAsia" w:hAnsi="Tahoma" w:cs="Tahoma"/>
          <w:kern w:val="2"/>
          <w14:ligatures w14:val="standardContextual"/>
        </w:rPr>
        <w:tab/>
      </w:r>
      <w:r w:rsidRPr="009D087E">
        <w:rPr>
          <w:rFonts w:ascii="Tahoma" w:hAnsi="Tahoma" w:cs="Tahoma"/>
        </w:rPr>
        <w:t>California Secretary of State Registration</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_Toc243558521 \h </w:instrText>
      </w:r>
      <w:r w:rsidRPr="009D087E">
        <w:rPr>
          <w:rFonts w:ascii="Tahoma" w:hAnsi="Tahoma" w:cs="Tahoma"/>
        </w:rPr>
      </w:r>
      <w:r w:rsidRPr="009D087E">
        <w:rPr>
          <w:rFonts w:ascii="Tahoma" w:hAnsi="Tahoma" w:cs="Tahoma"/>
        </w:rPr>
        <w:fldChar w:fldCharType="separate"/>
      </w:r>
      <w:r w:rsidRPr="009D087E">
        <w:rPr>
          <w:rFonts w:ascii="Tahoma" w:hAnsi="Tahoma" w:cs="Tahoma"/>
        </w:rPr>
        <w:t>20</w:t>
      </w:r>
      <w:r w:rsidRPr="009D087E">
        <w:rPr>
          <w:rFonts w:ascii="Tahoma" w:hAnsi="Tahoma" w:cs="Tahoma"/>
        </w:rPr>
        <w:fldChar w:fldCharType="end"/>
      </w:r>
    </w:p>
    <w:p w14:paraId="26185BB8" w14:textId="20D51E51"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B.</w:t>
      </w:r>
      <w:r w:rsidRPr="009D087E">
        <w:rPr>
          <w:rFonts w:eastAsiaTheme="minorEastAsia" w:cs="Tahoma"/>
          <w:iCs w:val="0"/>
          <w:noProof/>
          <w:kern w:val="2"/>
          <w:szCs w:val="24"/>
          <w14:ligatures w14:val="standardContextual"/>
        </w:rPr>
        <w:tab/>
      </w:r>
      <w:r w:rsidRPr="009D087E">
        <w:rPr>
          <w:rFonts w:cs="Tahoma"/>
          <w:noProof/>
          <w:szCs w:val="24"/>
        </w:rPr>
        <w:t>Project Requirements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_Toc243558522 \h </w:instrText>
      </w:r>
      <w:r w:rsidRPr="009D087E">
        <w:rPr>
          <w:rFonts w:cs="Tahoma"/>
          <w:noProof/>
          <w:szCs w:val="24"/>
        </w:rPr>
      </w:r>
      <w:r w:rsidRPr="009D087E">
        <w:rPr>
          <w:rFonts w:cs="Tahoma"/>
          <w:noProof/>
          <w:szCs w:val="24"/>
        </w:rPr>
        <w:fldChar w:fldCharType="separate"/>
      </w:r>
      <w:r w:rsidRPr="009D087E">
        <w:rPr>
          <w:rFonts w:cs="Tahoma"/>
          <w:noProof/>
          <w:szCs w:val="24"/>
        </w:rPr>
        <w:t>21</w:t>
      </w:r>
      <w:r w:rsidRPr="009D087E">
        <w:rPr>
          <w:rFonts w:cs="Tahoma"/>
          <w:noProof/>
          <w:szCs w:val="24"/>
        </w:rPr>
        <w:fldChar w:fldCharType="end"/>
      </w:r>
    </w:p>
    <w:p w14:paraId="0F837ADD" w14:textId="70988777"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Location and Site</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_Toc243558523 \h </w:instrText>
      </w:r>
      <w:r w:rsidRPr="009D087E">
        <w:rPr>
          <w:rFonts w:ascii="Tahoma" w:hAnsi="Tahoma" w:cs="Tahoma"/>
        </w:rPr>
      </w:r>
      <w:r w:rsidRPr="009D087E">
        <w:rPr>
          <w:rFonts w:ascii="Tahoma" w:hAnsi="Tahoma" w:cs="Tahoma"/>
        </w:rPr>
        <w:fldChar w:fldCharType="separate"/>
      </w:r>
      <w:r w:rsidRPr="009D087E">
        <w:rPr>
          <w:rFonts w:ascii="Tahoma" w:hAnsi="Tahoma" w:cs="Tahoma"/>
        </w:rPr>
        <w:t>21</w:t>
      </w:r>
      <w:r w:rsidRPr="009D087E">
        <w:rPr>
          <w:rFonts w:ascii="Tahoma" w:hAnsi="Tahoma" w:cs="Tahoma"/>
        </w:rPr>
        <w:fldChar w:fldCharType="end"/>
      </w:r>
    </w:p>
    <w:p w14:paraId="420D1BAB" w14:textId="7EB928C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Eligible Technologies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_Toc243558524 \h </w:instrText>
      </w:r>
      <w:r w:rsidRPr="009D087E">
        <w:rPr>
          <w:rFonts w:ascii="Tahoma" w:hAnsi="Tahoma" w:cs="Tahoma"/>
        </w:rPr>
      </w:r>
      <w:r w:rsidRPr="009D087E">
        <w:rPr>
          <w:rFonts w:ascii="Tahoma" w:hAnsi="Tahoma" w:cs="Tahoma"/>
        </w:rPr>
        <w:fldChar w:fldCharType="separate"/>
      </w:r>
      <w:r w:rsidRPr="009D087E">
        <w:rPr>
          <w:rFonts w:ascii="Tahoma" w:hAnsi="Tahoma" w:cs="Tahoma"/>
        </w:rPr>
        <w:t>21</w:t>
      </w:r>
      <w:r w:rsidRPr="009D087E">
        <w:rPr>
          <w:rFonts w:ascii="Tahoma" w:hAnsi="Tahoma" w:cs="Tahoma"/>
        </w:rPr>
        <w:fldChar w:fldCharType="end"/>
      </w:r>
    </w:p>
    <w:p w14:paraId="0BEB4F7B" w14:textId="042922D7"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Ineligible Technologies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_Toc243558525 \h </w:instrText>
      </w:r>
      <w:r w:rsidRPr="009D087E">
        <w:rPr>
          <w:rFonts w:ascii="Tahoma" w:hAnsi="Tahoma" w:cs="Tahoma"/>
        </w:rPr>
      </w:r>
      <w:r w:rsidRPr="009D087E">
        <w:rPr>
          <w:rFonts w:ascii="Tahoma" w:hAnsi="Tahoma" w:cs="Tahoma"/>
        </w:rPr>
        <w:fldChar w:fldCharType="separate"/>
      </w:r>
      <w:r w:rsidRPr="009D087E">
        <w:rPr>
          <w:rFonts w:ascii="Tahoma" w:hAnsi="Tahoma" w:cs="Tahoma"/>
        </w:rPr>
        <w:t>22</w:t>
      </w:r>
      <w:r w:rsidRPr="009D087E">
        <w:rPr>
          <w:rFonts w:ascii="Tahoma" w:hAnsi="Tahoma" w:cs="Tahoma"/>
        </w:rPr>
        <w:fldChar w:fldCharType="end"/>
      </w:r>
    </w:p>
    <w:p w14:paraId="5D54EBC9" w14:textId="54108CED"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4.</w:t>
      </w:r>
      <w:r w:rsidRPr="009D087E">
        <w:rPr>
          <w:rFonts w:ascii="Tahoma" w:eastAsiaTheme="minorEastAsia" w:hAnsi="Tahoma" w:cs="Tahoma"/>
          <w:kern w:val="2"/>
          <w14:ligatures w14:val="standardContextual"/>
        </w:rPr>
        <w:tab/>
      </w:r>
      <w:r w:rsidRPr="009D087E">
        <w:rPr>
          <w:rFonts w:ascii="Tahoma" w:hAnsi="Tahoma" w:cs="Tahoma"/>
        </w:rPr>
        <w:t>Project Specifications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_Toc243558526 \h </w:instrText>
      </w:r>
      <w:r w:rsidRPr="009D087E">
        <w:rPr>
          <w:rFonts w:ascii="Tahoma" w:hAnsi="Tahoma" w:cs="Tahoma"/>
        </w:rPr>
      </w:r>
      <w:r w:rsidRPr="009D087E">
        <w:rPr>
          <w:rFonts w:ascii="Tahoma" w:hAnsi="Tahoma" w:cs="Tahoma"/>
        </w:rPr>
        <w:fldChar w:fldCharType="separate"/>
      </w:r>
      <w:r w:rsidRPr="009D087E">
        <w:rPr>
          <w:rFonts w:ascii="Tahoma" w:hAnsi="Tahoma" w:cs="Tahoma"/>
        </w:rPr>
        <w:t>23</w:t>
      </w:r>
      <w:r w:rsidRPr="009D087E">
        <w:rPr>
          <w:rFonts w:ascii="Tahoma" w:hAnsi="Tahoma" w:cs="Tahoma"/>
        </w:rPr>
        <w:fldChar w:fldCharType="end"/>
      </w:r>
    </w:p>
    <w:p w14:paraId="1DE67083" w14:textId="3CCFEE97"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5.</w:t>
      </w:r>
      <w:r w:rsidRPr="009D087E">
        <w:rPr>
          <w:rFonts w:ascii="Tahoma" w:eastAsiaTheme="minorEastAsia" w:hAnsi="Tahoma" w:cs="Tahoma"/>
          <w:kern w:val="2"/>
          <w14:ligatures w14:val="standardContextual"/>
        </w:rPr>
        <w:tab/>
      </w:r>
      <w:r w:rsidRPr="009D087E">
        <w:rPr>
          <w:rFonts w:ascii="Tahoma" w:hAnsi="Tahoma" w:cs="Tahoma"/>
        </w:rPr>
        <w:t>Performance Requirements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_Toc243558527 \h </w:instrText>
      </w:r>
      <w:r w:rsidRPr="009D087E">
        <w:rPr>
          <w:rFonts w:ascii="Tahoma" w:hAnsi="Tahoma" w:cs="Tahoma"/>
        </w:rPr>
      </w:r>
      <w:r w:rsidRPr="009D087E">
        <w:rPr>
          <w:rFonts w:ascii="Tahoma" w:hAnsi="Tahoma" w:cs="Tahoma"/>
        </w:rPr>
        <w:fldChar w:fldCharType="separate"/>
      </w:r>
      <w:r w:rsidRPr="009D087E">
        <w:rPr>
          <w:rFonts w:ascii="Tahoma" w:hAnsi="Tahoma" w:cs="Tahoma"/>
        </w:rPr>
        <w:t>24</w:t>
      </w:r>
      <w:r w:rsidRPr="009D087E">
        <w:rPr>
          <w:rFonts w:ascii="Tahoma" w:hAnsi="Tahoma" w:cs="Tahoma"/>
        </w:rPr>
        <w:fldChar w:fldCharType="end"/>
      </w:r>
    </w:p>
    <w:p w14:paraId="2C771A0C" w14:textId="4C6D02EA"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6.</w:t>
      </w:r>
      <w:r w:rsidRPr="009D087E">
        <w:rPr>
          <w:rFonts w:ascii="Tahoma" w:eastAsiaTheme="minorEastAsia" w:hAnsi="Tahoma" w:cs="Tahoma"/>
          <w:kern w:val="2"/>
          <w14:ligatures w14:val="standardContextual"/>
        </w:rPr>
        <w:tab/>
      </w:r>
      <w:r w:rsidRPr="009D087E">
        <w:rPr>
          <w:rFonts w:ascii="Tahoma" w:hAnsi="Tahoma" w:cs="Tahoma"/>
        </w:rPr>
        <w:t>Measurement and Verification</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_Toc243558528 \h </w:instrText>
      </w:r>
      <w:r w:rsidRPr="009D087E">
        <w:rPr>
          <w:rFonts w:ascii="Tahoma" w:hAnsi="Tahoma" w:cs="Tahoma"/>
        </w:rPr>
      </w:r>
      <w:r w:rsidRPr="009D087E">
        <w:rPr>
          <w:rFonts w:ascii="Tahoma" w:hAnsi="Tahoma" w:cs="Tahoma"/>
        </w:rPr>
        <w:fldChar w:fldCharType="separate"/>
      </w:r>
      <w:r w:rsidRPr="009D087E">
        <w:rPr>
          <w:rFonts w:ascii="Tahoma" w:hAnsi="Tahoma" w:cs="Tahoma"/>
        </w:rPr>
        <w:t>31</w:t>
      </w:r>
      <w:r w:rsidRPr="009D087E">
        <w:rPr>
          <w:rFonts w:ascii="Tahoma" w:hAnsi="Tahoma" w:cs="Tahoma"/>
        </w:rPr>
        <w:fldChar w:fldCharType="end"/>
      </w:r>
    </w:p>
    <w:p w14:paraId="702F0AA2" w14:textId="478E649D"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7.</w:t>
      </w:r>
      <w:r w:rsidRPr="009D087E">
        <w:rPr>
          <w:rFonts w:ascii="Tahoma" w:eastAsiaTheme="minorEastAsia" w:hAnsi="Tahoma" w:cs="Tahoma"/>
          <w:kern w:val="2"/>
          <w14:ligatures w14:val="standardContextual"/>
        </w:rPr>
        <w:tab/>
      </w:r>
      <w:r w:rsidRPr="009D087E">
        <w:rPr>
          <w:rFonts w:ascii="Tahoma" w:hAnsi="Tahoma" w:cs="Tahoma"/>
        </w:rPr>
        <w:t>Reporting Requirements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_Toc243558529 \h </w:instrText>
      </w:r>
      <w:r w:rsidRPr="009D087E">
        <w:rPr>
          <w:rFonts w:ascii="Tahoma" w:hAnsi="Tahoma" w:cs="Tahoma"/>
        </w:rPr>
      </w:r>
      <w:r w:rsidRPr="009D087E">
        <w:rPr>
          <w:rFonts w:ascii="Tahoma" w:hAnsi="Tahoma" w:cs="Tahoma"/>
        </w:rPr>
        <w:fldChar w:fldCharType="separate"/>
      </w:r>
      <w:r w:rsidRPr="009D087E">
        <w:rPr>
          <w:rFonts w:ascii="Tahoma" w:hAnsi="Tahoma" w:cs="Tahoma"/>
        </w:rPr>
        <w:t>33</w:t>
      </w:r>
      <w:r w:rsidRPr="009D087E">
        <w:rPr>
          <w:rFonts w:ascii="Tahoma" w:hAnsi="Tahoma" w:cs="Tahoma"/>
        </w:rPr>
        <w:fldChar w:fldCharType="end"/>
      </w:r>
    </w:p>
    <w:p w14:paraId="57B7E59B" w14:textId="41F0D97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8.</w:t>
      </w:r>
      <w:r w:rsidRPr="009D087E">
        <w:rPr>
          <w:rFonts w:ascii="Tahoma" w:eastAsiaTheme="minorEastAsia" w:hAnsi="Tahoma" w:cs="Tahoma"/>
          <w:kern w:val="2"/>
          <w14:ligatures w14:val="standardContextual"/>
        </w:rPr>
        <w:tab/>
      </w:r>
      <w:r w:rsidRPr="009D087E">
        <w:rPr>
          <w:rFonts w:ascii="Tahoma" w:hAnsi="Tahoma" w:cs="Tahoma"/>
        </w:rPr>
        <w:t>Proposition 4 Directed Priorities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_Toc243558530 \h </w:instrText>
      </w:r>
      <w:r w:rsidRPr="009D087E">
        <w:rPr>
          <w:rFonts w:ascii="Tahoma" w:hAnsi="Tahoma" w:cs="Tahoma"/>
        </w:rPr>
      </w:r>
      <w:r w:rsidRPr="009D087E">
        <w:rPr>
          <w:rFonts w:ascii="Tahoma" w:hAnsi="Tahoma" w:cs="Tahoma"/>
        </w:rPr>
        <w:fldChar w:fldCharType="separate"/>
      </w:r>
      <w:r w:rsidRPr="009D087E">
        <w:rPr>
          <w:rFonts w:ascii="Tahoma" w:hAnsi="Tahoma" w:cs="Tahoma"/>
        </w:rPr>
        <w:t>34</w:t>
      </w:r>
      <w:r w:rsidRPr="009D087E">
        <w:rPr>
          <w:rFonts w:ascii="Tahoma" w:hAnsi="Tahoma" w:cs="Tahoma"/>
        </w:rPr>
        <w:fldChar w:fldCharType="end"/>
      </w:r>
    </w:p>
    <w:p w14:paraId="44F055C8" w14:textId="6FA0FFDD"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9.</w:t>
      </w:r>
      <w:r w:rsidRPr="009D087E">
        <w:rPr>
          <w:rFonts w:ascii="Tahoma" w:eastAsiaTheme="minorEastAsia" w:hAnsi="Tahoma" w:cs="Tahoma"/>
          <w:kern w:val="2"/>
          <w14:ligatures w14:val="standardContextual"/>
        </w:rPr>
        <w:tab/>
      </w:r>
      <w:r w:rsidRPr="009D087E">
        <w:rPr>
          <w:rFonts w:ascii="Tahoma" w:hAnsi="Tahoma" w:cs="Tahoma"/>
        </w:rPr>
        <w:t>Project Readiness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_Toc243558531 \h </w:instrText>
      </w:r>
      <w:r w:rsidRPr="009D087E">
        <w:rPr>
          <w:rFonts w:ascii="Tahoma" w:hAnsi="Tahoma" w:cs="Tahoma"/>
        </w:rPr>
      </w:r>
      <w:r w:rsidRPr="009D087E">
        <w:rPr>
          <w:rFonts w:ascii="Tahoma" w:hAnsi="Tahoma" w:cs="Tahoma"/>
        </w:rPr>
        <w:fldChar w:fldCharType="separate"/>
      </w:r>
      <w:r w:rsidRPr="009D087E">
        <w:rPr>
          <w:rFonts w:ascii="Tahoma" w:hAnsi="Tahoma" w:cs="Tahoma"/>
        </w:rPr>
        <w:t>36</w:t>
      </w:r>
      <w:r w:rsidRPr="009D087E">
        <w:rPr>
          <w:rFonts w:ascii="Tahoma" w:hAnsi="Tahoma" w:cs="Tahoma"/>
        </w:rPr>
        <w:fldChar w:fldCharType="end"/>
      </w:r>
    </w:p>
    <w:p w14:paraId="5317B7C4" w14:textId="2A6A9558"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C.</w:t>
      </w:r>
      <w:r w:rsidRPr="009D087E">
        <w:rPr>
          <w:rFonts w:eastAsiaTheme="minorEastAsia" w:cs="Tahoma"/>
          <w:iCs w:val="0"/>
          <w:noProof/>
          <w:kern w:val="2"/>
          <w:szCs w:val="24"/>
          <w14:ligatures w14:val="standardContextual"/>
        </w:rPr>
        <w:tab/>
      </w:r>
      <w:r w:rsidRPr="009D087E">
        <w:rPr>
          <w:rFonts w:cs="Tahoma"/>
          <w:noProof/>
          <w:szCs w:val="24"/>
        </w:rPr>
        <w:t>Environmental Review Requirements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_Toc243558532 \h </w:instrText>
      </w:r>
      <w:r w:rsidRPr="009D087E">
        <w:rPr>
          <w:rFonts w:cs="Tahoma"/>
          <w:noProof/>
          <w:szCs w:val="24"/>
        </w:rPr>
      </w:r>
      <w:r w:rsidRPr="009D087E">
        <w:rPr>
          <w:rFonts w:cs="Tahoma"/>
          <w:noProof/>
          <w:szCs w:val="24"/>
        </w:rPr>
        <w:fldChar w:fldCharType="separate"/>
      </w:r>
      <w:r w:rsidRPr="009D087E">
        <w:rPr>
          <w:rFonts w:cs="Tahoma"/>
          <w:noProof/>
          <w:szCs w:val="24"/>
        </w:rPr>
        <w:t>39</w:t>
      </w:r>
      <w:r w:rsidRPr="009D087E">
        <w:rPr>
          <w:rFonts w:cs="Tahoma"/>
          <w:noProof/>
          <w:szCs w:val="24"/>
        </w:rPr>
        <w:fldChar w:fldCharType="end"/>
      </w:r>
    </w:p>
    <w:p w14:paraId="4FF1B970" w14:textId="6F2505B6"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Environmental Review</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_Toc243558533 \h </w:instrText>
      </w:r>
      <w:r w:rsidRPr="009D087E">
        <w:rPr>
          <w:rFonts w:ascii="Tahoma" w:hAnsi="Tahoma" w:cs="Tahoma"/>
        </w:rPr>
      </w:r>
      <w:r w:rsidRPr="009D087E">
        <w:rPr>
          <w:rFonts w:ascii="Tahoma" w:hAnsi="Tahoma" w:cs="Tahoma"/>
        </w:rPr>
        <w:fldChar w:fldCharType="separate"/>
      </w:r>
      <w:r w:rsidRPr="009D087E">
        <w:rPr>
          <w:rFonts w:ascii="Tahoma" w:hAnsi="Tahoma" w:cs="Tahoma"/>
        </w:rPr>
        <w:t>39</w:t>
      </w:r>
      <w:r w:rsidRPr="009D087E">
        <w:rPr>
          <w:rFonts w:ascii="Tahoma" w:hAnsi="Tahoma" w:cs="Tahoma"/>
        </w:rPr>
        <w:fldChar w:fldCharType="end"/>
      </w:r>
    </w:p>
    <w:p w14:paraId="0763D25C" w14:textId="7D53C199"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CEQA-Related Right to Reject an Application or Cancel a Proposed Award</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_Toc243558534 \h </w:instrText>
      </w:r>
      <w:r w:rsidRPr="009D087E">
        <w:rPr>
          <w:rFonts w:ascii="Tahoma" w:hAnsi="Tahoma" w:cs="Tahoma"/>
        </w:rPr>
      </w:r>
      <w:r w:rsidRPr="009D087E">
        <w:rPr>
          <w:rFonts w:ascii="Tahoma" w:hAnsi="Tahoma" w:cs="Tahoma"/>
        </w:rPr>
        <w:fldChar w:fldCharType="separate"/>
      </w:r>
      <w:r w:rsidRPr="009D087E">
        <w:rPr>
          <w:rFonts w:ascii="Tahoma" w:hAnsi="Tahoma" w:cs="Tahoma"/>
        </w:rPr>
        <w:t>40</w:t>
      </w:r>
      <w:r w:rsidRPr="009D087E">
        <w:rPr>
          <w:rFonts w:ascii="Tahoma" w:hAnsi="Tahoma" w:cs="Tahoma"/>
        </w:rPr>
        <w:fldChar w:fldCharType="end"/>
      </w:r>
    </w:p>
    <w:p w14:paraId="1B89D0A4" w14:textId="3F23FD83"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Environmental Review of Projects Proposed on Tribal Lands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_Toc243558535 \h </w:instrText>
      </w:r>
      <w:r w:rsidRPr="009D087E">
        <w:rPr>
          <w:rFonts w:ascii="Tahoma" w:hAnsi="Tahoma" w:cs="Tahoma"/>
        </w:rPr>
      </w:r>
      <w:r w:rsidRPr="009D087E">
        <w:rPr>
          <w:rFonts w:ascii="Tahoma" w:hAnsi="Tahoma" w:cs="Tahoma"/>
        </w:rPr>
        <w:fldChar w:fldCharType="separate"/>
      </w:r>
      <w:r w:rsidRPr="009D087E">
        <w:rPr>
          <w:rFonts w:ascii="Tahoma" w:hAnsi="Tahoma" w:cs="Tahoma"/>
        </w:rPr>
        <w:t>41</w:t>
      </w:r>
      <w:r w:rsidRPr="009D087E">
        <w:rPr>
          <w:rFonts w:ascii="Tahoma" w:hAnsi="Tahoma" w:cs="Tahoma"/>
        </w:rPr>
        <w:fldChar w:fldCharType="end"/>
      </w:r>
    </w:p>
    <w:p w14:paraId="1115E66B" w14:textId="7DBDF355"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4.</w:t>
      </w:r>
      <w:r w:rsidRPr="009D087E">
        <w:rPr>
          <w:rFonts w:ascii="Tahoma" w:eastAsiaTheme="minorEastAsia" w:hAnsi="Tahoma" w:cs="Tahoma"/>
          <w:kern w:val="2"/>
          <w14:ligatures w14:val="standardContextual"/>
        </w:rPr>
        <w:tab/>
      </w:r>
      <w:r w:rsidRPr="009D087E">
        <w:rPr>
          <w:rFonts w:ascii="Tahoma" w:hAnsi="Tahoma" w:cs="Tahoma"/>
        </w:rPr>
        <w:t>Environmental Review of Projects Proposed on Federal Lands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_Toc243558536 \h </w:instrText>
      </w:r>
      <w:r w:rsidRPr="009D087E">
        <w:rPr>
          <w:rFonts w:ascii="Tahoma" w:hAnsi="Tahoma" w:cs="Tahoma"/>
        </w:rPr>
      </w:r>
      <w:r w:rsidRPr="009D087E">
        <w:rPr>
          <w:rFonts w:ascii="Tahoma" w:hAnsi="Tahoma" w:cs="Tahoma"/>
        </w:rPr>
        <w:fldChar w:fldCharType="separate"/>
      </w:r>
      <w:r w:rsidRPr="009D087E">
        <w:rPr>
          <w:rFonts w:ascii="Tahoma" w:hAnsi="Tahoma" w:cs="Tahoma"/>
        </w:rPr>
        <w:t>41</w:t>
      </w:r>
      <w:r w:rsidRPr="009D087E">
        <w:rPr>
          <w:rFonts w:ascii="Tahoma" w:hAnsi="Tahoma" w:cs="Tahoma"/>
        </w:rPr>
        <w:fldChar w:fldCharType="end"/>
      </w:r>
    </w:p>
    <w:p w14:paraId="10354B40" w14:textId="4682939B"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D.</w:t>
      </w:r>
      <w:r w:rsidRPr="009D087E">
        <w:rPr>
          <w:rFonts w:eastAsiaTheme="minorEastAsia" w:cs="Tahoma"/>
          <w:iCs w:val="0"/>
          <w:noProof/>
          <w:kern w:val="2"/>
          <w:szCs w:val="24"/>
          <w14:ligatures w14:val="standardContextual"/>
        </w:rPr>
        <w:tab/>
      </w:r>
      <w:r w:rsidRPr="009D087E">
        <w:rPr>
          <w:rFonts w:cs="Tahoma"/>
          <w:noProof/>
          <w:szCs w:val="24"/>
        </w:rPr>
        <w:t>CEC’s Rights and Remedies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_Toc243558537 \h </w:instrText>
      </w:r>
      <w:r w:rsidRPr="009D087E">
        <w:rPr>
          <w:rFonts w:cs="Tahoma"/>
          <w:noProof/>
          <w:szCs w:val="24"/>
        </w:rPr>
      </w:r>
      <w:r w:rsidRPr="009D087E">
        <w:rPr>
          <w:rFonts w:cs="Tahoma"/>
          <w:noProof/>
          <w:szCs w:val="24"/>
        </w:rPr>
        <w:fldChar w:fldCharType="separate"/>
      </w:r>
      <w:r w:rsidRPr="009D087E">
        <w:rPr>
          <w:rFonts w:cs="Tahoma"/>
          <w:noProof/>
          <w:szCs w:val="24"/>
        </w:rPr>
        <w:t>41</w:t>
      </w:r>
      <w:r w:rsidRPr="009D087E">
        <w:rPr>
          <w:rFonts w:cs="Tahoma"/>
          <w:noProof/>
          <w:szCs w:val="24"/>
        </w:rPr>
        <w:fldChar w:fldCharType="end"/>
      </w:r>
    </w:p>
    <w:p w14:paraId="67948873" w14:textId="26CC35A1" w:rsidR="009D087E" w:rsidRPr="009D087E" w:rsidRDefault="009D087E">
      <w:pPr>
        <w:pStyle w:val="TOC2"/>
        <w:rPr>
          <w:rFonts w:eastAsiaTheme="minorEastAsia" w:cs="Tahoma"/>
          <w:b w:val="0"/>
          <w:bCs w:val="0"/>
          <w:smallCaps w:val="0"/>
          <w:kern w:val="2"/>
          <w:szCs w:val="24"/>
          <w14:ligatures w14:val="standardContextual"/>
        </w:rPr>
      </w:pPr>
      <w:r w:rsidRPr="009D087E">
        <w:rPr>
          <w:rFonts w:cs="Tahoma"/>
          <w:szCs w:val="24"/>
        </w:rPr>
        <w:lastRenderedPageBreak/>
        <w:t>III: Application Submission Instructions</w:t>
      </w:r>
      <w:r w:rsidRPr="009D087E">
        <w:rPr>
          <w:rFonts w:cs="Tahoma"/>
          <w:szCs w:val="24"/>
        </w:rPr>
        <w:tab/>
      </w:r>
      <w:r w:rsidRPr="009D087E">
        <w:rPr>
          <w:rFonts w:cs="Tahoma"/>
          <w:szCs w:val="24"/>
        </w:rPr>
        <w:fldChar w:fldCharType="begin"/>
      </w:r>
      <w:r w:rsidRPr="009D087E">
        <w:rPr>
          <w:rFonts w:cs="Tahoma"/>
          <w:szCs w:val="24"/>
        </w:rPr>
        <w:instrText xml:space="preserve"> PAGEREF _Toc243558538 \h </w:instrText>
      </w:r>
      <w:r w:rsidRPr="009D087E">
        <w:rPr>
          <w:rFonts w:cs="Tahoma"/>
          <w:szCs w:val="24"/>
        </w:rPr>
      </w:r>
      <w:r w:rsidRPr="009D087E">
        <w:rPr>
          <w:rFonts w:cs="Tahoma"/>
          <w:szCs w:val="24"/>
        </w:rPr>
        <w:fldChar w:fldCharType="separate"/>
      </w:r>
      <w:r w:rsidRPr="009D087E">
        <w:rPr>
          <w:rFonts w:cs="Tahoma"/>
          <w:szCs w:val="24"/>
        </w:rPr>
        <w:t>42</w:t>
      </w:r>
      <w:r w:rsidRPr="009D087E">
        <w:rPr>
          <w:rFonts w:cs="Tahoma"/>
          <w:szCs w:val="24"/>
        </w:rPr>
        <w:fldChar w:fldCharType="end"/>
      </w:r>
    </w:p>
    <w:p w14:paraId="48439871" w14:textId="5A086262"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A.</w:t>
      </w:r>
      <w:r w:rsidRPr="009D087E">
        <w:rPr>
          <w:rFonts w:eastAsiaTheme="minorEastAsia" w:cs="Tahoma"/>
          <w:iCs w:val="0"/>
          <w:noProof/>
          <w:kern w:val="2"/>
          <w:szCs w:val="24"/>
          <w14:ligatures w14:val="standardContextual"/>
        </w:rPr>
        <w:tab/>
      </w:r>
      <w:r w:rsidRPr="009D087E">
        <w:rPr>
          <w:rFonts w:cs="Tahoma"/>
          <w:noProof/>
          <w:szCs w:val="24"/>
        </w:rPr>
        <w:t>Application Format, Page Limits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_Toc243558539 \h </w:instrText>
      </w:r>
      <w:r w:rsidRPr="009D087E">
        <w:rPr>
          <w:rFonts w:cs="Tahoma"/>
          <w:noProof/>
          <w:szCs w:val="24"/>
        </w:rPr>
      </w:r>
      <w:r w:rsidRPr="009D087E">
        <w:rPr>
          <w:rFonts w:cs="Tahoma"/>
          <w:noProof/>
          <w:szCs w:val="24"/>
        </w:rPr>
        <w:fldChar w:fldCharType="separate"/>
      </w:r>
      <w:r w:rsidRPr="009D087E">
        <w:rPr>
          <w:rFonts w:cs="Tahoma"/>
          <w:noProof/>
          <w:szCs w:val="24"/>
        </w:rPr>
        <w:t>42</w:t>
      </w:r>
      <w:r w:rsidRPr="009D087E">
        <w:rPr>
          <w:rFonts w:cs="Tahoma"/>
          <w:noProof/>
          <w:szCs w:val="24"/>
        </w:rPr>
        <w:fldChar w:fldCharType="end"/>
      </w:r>
    </w:p>
    <w:p w14:paraId="643BF9C5" w14:textId="70DE6BCA"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B.</w:t>
      </w:r>
      <w:r w:rsidRPr="009D087E">
        <w:rPr>
          <w:rFonts w:eastAsiaTheme="minorEastAsia" w:cs="Tahoma"/>
          <w:iCs w:val="0"/>
          <w:noProof/>
          <w:kern w:val="2"/>
          <w:szCs w:val="24"/>
          <w14:ligatures w14:val="standardContextual"/>
        </w:rPr>
        <w:tab/>
      </w:r>
      <w:r w:rsidRPr="009D087E">
        <w:rPr>
          <w:rFonts w:cs="Tahoma"/>
          <w:noProof/>
          <w:szCs w:val="24"/>
        </w:rPr>
        <w:t>Method For Delivery</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_Toc243558540 \h </w:instrText>
      </w:r>
      <w:r w:rsidRPr="009D087E">
        <w:rPr>
          <w:rFonts w:cs="Tahoma"/>
          <w:noProof/>
          <w:szCs w:val="24"/>
        </w:rPr>
      </w:r>
      <w:r w:rsidRPr="009D087E">
        <w:rPr>
          <w:rFonts w:cs="Tahoma"/>
          <w:noProof/>
          <w:szCs w:val="24"/>
        </w:rPr>
        <w:fldChar w:fldCharType="separate"/>
      </w:r>
      <w:r w:rsidRPr="009D087E">
        <w:rPr>
          <w:rFonts w:cs="Tahoma"/>
          <w:noProof/>
          <w:szCs w:val="24"/>
        </w:rPr>
        <w:t>43</w:t>
      </w:r>
      <w:r w:rsidRPr="009D087E">
        <w:rPr>
          <w:rFonts w:cs="Tahoma"/>
          <w:noProof/>
          <w:szCs w:val="24"/>
        </w:rPr>
        <w:fldChar w:fldCharType="end"/>
      </w:r>
    </w:p>
    <w:p w14:paraId="6BE9E8C9" w14:textId="0D4E6E8B"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C.</w:t>
      </w:r>
      <w:r w:rsidRPr="009D087E">
        <w:rPr>
          <w:rFonts w:eastAsiaTheme="minorEastAsia" w:cs="Tahoma"/>
          <w:iCs w:val="0"/>
          <w:noProof/>
          <w:kern w:val="2"/>
          <w:szCs w:val="24"/>
          <w14:ligatures w14:val="standardContextual"/>
        </w:rPr>
        <w:tab/>
      </w:r>
      <w:r w:rsidRPr="009D087E">
        <w:rPr>
          <w:rFonts w:cs="Tahoma"/>
          <w:noProof/>
          <w:szCs w:val="24"/>
        </w:rPr>
        <w:t>Modifying or withdrawal of application</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_Toc243558541 \h </w:instrText>
      </w:r>
      <w:r w:rsidRPr="009D087E">
        <w:rPr>
          <w:rFonts w:cs="Tahoma"/>
          <w:noProof/>
          <w:szCs w:val="24"/>
        </w:rPr>
      </w:r>
      <w:r w:rsidRPr="009D087E">
        <w:rPr>
          <w:rFonts w:cs="Tahoma"/>
          <w:noProof/>
          <w:szCs w:val="24"/>
        </w:rPr>
        <w:fldChar w:fldCharType="separate"/>
      </w:r>
      <w:r w:rsidRPr="009D087E">
        <w:rPr>
          <w:rFonts w:cs="Tahoma"/>
          <w:noProof/>
          <w:szCs w:val="24"/>
        </w:rPr>
        <w:t>44</w:t>
      </w:r>
      <w:r w:rsidRPr="009D087E">
        <w:rPr>
          <w:rFonts w:cs="Tahoma"/>
          <w:noProof/>
          <w:szCs w:val="24"/>
        </w:rPr>
        <w:fldChar w:fldCharType="end"/>
      </w:r>
    </w:p>
    <w:p w14:paraId="07944848" w14:textId="49883EC7"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D.</w:t>
      </w:r>
      <w:r w:rsidRPr="009D087E">
        <w:rPr>
          <w:rFonts w:eastAsiaTheme="minorEastAsia" w:cs="Tahoma"/>
          <w:iCs w:val="0"/>
          <w:noProof/>
          <w:kern w:val="2"/>
          <w:szCs w:val="24"/>
          <w14:ligatures w14:val="standardContextual"/>
        </w:rPr>
        <w:tab/>
      </w:r>
      <w:r w:rsidRPr="009D087E">
        <w:rPr>
          <w:rFonts w:cs="Tahoma"/>
          <w:noProof/>
          <w:szCs w:val="24"/>
        </w:rPr>
        <w:t>Required Application Attachments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_Toc243558542 \h </w:instrText>
      </w:r>
      <w:r w:rsidRPr="009D087E">
        <w:rPr>
          <w:rFonts w:cs="Tahoma"/>
          <w:noProof/>
          <w:szCs w:val="24"/>
        </w:rPr>
      </w:r>
      <w:r w:rsidRPr="009D087E">
        <w:rPr>
          <w:rFonts w:cs="Tahoma"/>
          <w:noProof/>
          <w:szCs w:val="24"/>
        </w:rPr>
        <w:fldChar w:fldCharType="separate"/>
      </w:r>
      <w:r w:rsidRPr="009D087E">
        <w:rPr>
          <w:rFonts w:cs="Tahoma"/>
          <w:noProof/>
          <w:szCs w:val="24"/>
        </w:rPr>
        <w:t>44</w:t>
      </w:r>
      <w:r w:rsidRPr="009D087E">
        <w:rPr>
          <w:rFonts w:cs="Tahoma"/>
          <w:noProof/>
          <w:szCs w:val="24"/>
        </w:rPr>
        <w:fldChar w:fldCharType="end"/>
      </w:r>
    </w:p>
    <w:p w14:paraId="5EA59CF0" w14:textId="7F9D3C8E"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Application Form (Attachment 01)</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_Toc243558543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12829887" w14:textId="399C5038"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Project Narrative (Attachment 02)</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_Toc243558544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372237C1" w14:textId="4B15A51E"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Project Team Form (Attachment 03)</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_Toc243558545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36C1B03F" w14:textId="75021BD5"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4.</w:t>
      </w:r>
      <w:r w:rsidRPr="009D087E">
        <w:rPr>
          <w:rFonts w:ascii="Tahoma" w:eastAsiaTheme="minorEastAsia" w:hAnsi="Tahoma" w:cs="Tahoma"/>
          <w:kern w:val="2"/>
          <w14:ligatures w14:val="standardContextual"/>
        </w:rPr>
        <w:tab/>
      </w:r>
      <w:r w:rsidRPr="009D087E">
        <w:rPr>
          <w:rFonts w:ascii="Tahoma" w:hAnsi="Tahoma" w:cs="Tahoma"/>
        </w:rPr>
        <w:t>Scope of Work (Attachment 04)</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_Toc243558546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3F931F27" w14:textId="5662CAB0"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5.</w:t>
      </w:r>
      <w:r w:rsidRPr="009D087E">
        <w:rPr>
          <w:rFonts w:ascii="Tahoma" w:eastAsiaTheme="minorEastAsia" w:hAnsi="Tahoma" w:cs="Tahoma"/>
          <w:kern w:val="2"/>
          <w14:ligatures w14:val="standardContextual"/>
        </w:rPr>
        <w:tab/>
      </w:r>
      <w:r w:rsidRPr="009D087E">
        <w:rPr>
          <w:rFonts w:ascii="Tahoma" w:hAnsi="Tahoma" w:cs="Tahoma"/>
        </w:rPr>
        <w:t>Project Schedule (Attachment 05)</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_Toc243558547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0A1EF2D6" w14:textId="2A0AF6B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6.</w:t>
      </w:r>
      <w:r w:rsidRPr="009D087E">
        <w:rPr>
          <w:rFonts w:ascii="Tahoma" w:eastAsiaTheme="minorEastAsia" w:hAnsi="Tahoma" w:cs="Tahoma"/>
          <w:kern w:val="2"/>
          <w14:ligatures w14:val="standardContextual"/>
        </w:rPr>
        <w:tab/>
      </w:r>
      <w:r w:rsidRPr="009D087E">
        <w:rPr>
          <w:rFonts w:ascii="Tahoma" w:hAnsi="Tahoma" w:cs="Tahoma"/>
        </w:rPr>
        <w:t>Budget (Attachment 06)</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_Toc243558548 \h </w:instrText>
      </w:r>
      <w:r w:rsidRPr="009D087E">
        <w:rPr>
          <w:rFonts w:ascii="Tahoma" w:hAnsi="Tahoma" w:cs="Tahoma"/>
        </w:rPr>
      </w:r>
      <w:r w:rsidRPr="009D087E">
        <w:rPr>
          <w:rFonts w:ascii="Tahoma" w:hAnsi="Tahoma" w:cs="Tahoma"/>
        </w:rPr>
        <w:fldChar w:fldCharType="separate"/>
      </w:r>
      <w:r w:rsidRPr="009D087E">
        <w:rPr>
          <w:rFonts w:ascii="Tahoma" w:hAnsi="Tahoma" w:cs="Tahoma"/>
        </w:rPr>
        <w:t>45</w:t>
      </w:r>
      <w:r w:rsidRPr="009D087E">
        <w:rPr>
          <w:rFonts w:ascii="Tahoma" w:hAnsi="Tahoma" w:cs="Tahoma"/>
        </w:rPr>
        <w:fldChar w:fldCharType="end"/>
      </w:r>
    </w:p>
    <w:p w14:paraId="6056C326" w14:textId="05580C67"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7.</w:t>
      </w:r>
      <w:r w:rsidRPr="009D087E">
        <w:rPr>
          <w:rFonts w:ascii="Tahoma" w:eastAsiaTheme="minorEastAsia" w:hAnsi="Tahoma" w:cs="Tahoma"/>
          <w:kern w:val="2"/>
          <w14:ligatures w14:val="standardContextual"/>
        </w:rPr>
        <w:tab/>
      </w:r>
      <w:r w:rsidRPr="009D087E">
        <w:rPr>
          <w:rFonts w:ascii="Tahoma" w:hAnsi="Tahoma" w:cs="Tahoma"/>
        </w:rPr>
        <w:t>CEQA Compliance Form (Attachment 07)</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_Toc243558549 \h </w:instrText>
      </w:r>
      <w:r w:rsidRPr="009D087E">
        <w:rPr>
          <w:rFonts w:ascii="Tahoma" w:hAnsi="Tahoma" w:cs="Tahoma"/>
        </w:rPr>
      </w:r>
      <w:r w:rsidRPr="009D087E">
        <w:rPr>
          <w:rFonts w:ascii="Tahoma" w:hAnsi="Tahoma" w:cs="Tahoma"/>
        </w:rPr>
        <w:fldChar w:fldCharType="separate"/>
      </w:r>
      <w:r w:rsidRPr="009D087E">
        <w:rPr>
          <w:rFonts w:ascii="Tahoma" w:hAnsi="Tahoma" w:cs="Tahoma"/>
        </w:rPr>
        <w:t>47</w:t>
      </w:r>
      <w:r w:rsidRPr="009D087E">
        <w:rPr>
          <w:rFonts w:ascii="Tahoma" w:hAnsi="Tahoma" w:cs="Tahoma"/>
        </w:rPr>
        <w:fldChar w:fldCharType="end"/>
      </w:r>
    </w:p>
    <w:p w14:paraId="7B89669D" w14:textId="1D4600E3"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8.</w:t>
      </w:r>
      <w:r w:rsidRPr="009D087E">
        <w:rPr>
          <w:rFonts w:ascii="Tahoma" w:eastAsiaTheme="minorEastAsia" w:hAnsi="Tahoma" w:cs="Tahoma"/>
          <w:kern w:val="2"/>
          <w14:ligatures w14:val="standardContextual"/>
        </w:rPr>
        <w:tab/>
      </w:r>
      <w:r w:rsidRPr="009D087E">
        <w:rPr>
          <w:rFonts w:ascii="Tahoma" w:hAnsi="Tahoma" w:cs="Tahoma"/>
        </w:rPr>
        <w:t>Current and Past Products Information Form (Attachment 08)</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_Toc243558550 \h </w:instrText>
      </w:r>
      <w:r w:rsidRPr="009D087E">
        <w:rPr>
          <w:rFonts w:ascii="Tahoma" w:hAnsi="Tahoma" w:cs="Tahoma"/>
        </w:rPr>
      </w:r>
      <w:r w:rsidRPr="009D087E">
        <w:rPr>
          <w:rFonts w:ascii="Tahoma" w:hAnsi="Tahoma" w:cs="Tahoma"/>
        </w:rPr>
        <w:fldChar w:fldCharType="separate"/>
      </w:r>
      <w:r w:rsidRPr="009D087E">
        <w:rPr>
          <w:rFonts w:ascii="Tahoma" w:hAnsi="Tahoma" w:cs="Tahoma"/>
        </w:rPr>
        <w:t>48</w:t>
      </w:r>
      <w:r w:rsidRPr="009D087E">
        <w:rPr>
          <w:rFonts w:ascii="Tahoma" w:hAnsi="Tahoma" w:cs="Tahoma"/>
        </w:rPr>
        <w:fldChar w:fldCharType="end"/>
      </w:r>
    </w:p>
    <w:p w14:paraId="61327EC2" w14:textId="6A88E728"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9.</w:t>
      </w:r>
      <w:r w:rsidRPr="009D087E">
        <w:rPr>
          <w:rFonts w:ascii="Tahoma" w:eastAsiaTheme="minorEastAsia" w:hAnsi="Tahoma" w:cs="Tahoma"/>
          <w:kern w:val="2"/>
          <w14:ligatures w14:val="standardContextual"/>
        </w:rPr>
        <w:tab/>
      </w:r>
      <w:r w:rsidRPr="009D087E">
        <w:rPr>
          <w:rFonts w:ascii="Tahoma" w:hAnsi="Tahoma" w:cs="Tahoma"/>
        </w:rPr>
        <w:t>Commitment and Support Letter Form (Attachment 09)</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_Toc243558551 \h </w:instrText>
      </w:r>
      <w:r w:rsidRPr="009D087E">
        <w:rPr>
          <w:rFonts w:ascii="Tahoma" w:hAnsi="Tahoma" w:cs="Tahoma"/>
        </w:rPr>
      </w:r>
      <w:r w:rsidRPr="009D087E">
        <w:rPr>
          <w:rFonts w:ascii="Tahoma" w:hAnsi="Tahoma" w:cs="Tahoma"/>
        </w:rPr>
        <w:fldChar w:fldCharType="separate"/>
      </w:r>
      <w:r w:rsidRPr="009D087E">
        <w:rPr>
          <w:rFonts w:ascii="Tahoma" w:hAnsi="Tahoma" w:cs="Tahoma"/>
        </w:rPr>
        <w:t>48</w:t>
      </w:r>
      <w:r w:rsidRPr="009D087E">
        <w:rPr>
          <w:rFonts w:ascii="Tahoma" w:hAnsi="Tahoma" w:cs="Tahoma"/>
        </w:rPr>
        <w:fldChar w:fldCharType="end"/>
      </w:r>
    </w:p>
    <w:p w14:paraId="6935BDB4" w14:textId="0582A5AB"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rPr>
        <w:t>10.</w:t>
      </w:r>
      <w:r w:rsidRPr="009D087E">
        <w:rPr>
          <w:rFonts w:ascii="Tahoma" w:eastAsiaTheme="minorEastAsia" w:hAnsi="Tahoma" w:cs="Tahoma"/>
          <w:kern w:val="2"/>
          <w14:ligatures w14:val="standardContextual"/>
        </w:rPr>
        <w:tab/>
      </w:r>
      <w:r w:rsidRPr="009D087E">
        <w:rPr>
          <w:rFonts w:ascii="Tahoma" w:hAnsi="Tahoma" w:cs="Tahoma"/>
        </w:rPr>
        <w:t>Measurement &amp; Verification Plan (Attachment 10)</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_Toc243558552 \h </w:instrText>
      </w:r>
      <w:r w:rsidRPr="009D087E">
        <w:rPr>
          <w:rFonts w:ascii="Tahoma" w:hAnsi="Tahoma" w:cs="Tahoma"/>
        </w:rPr>
      </w:r>
      <w:r w:rsidRPr="009D087E">
        <w:rPr>
          <w:rFonts w:ascii="Tahoma" w:hAnsi="Tahoma" w:cs="Tahoma"/>
        </w:rPr>
        <w:fldChar w:fldCharType="separate"/>
      </w:r>
      <w:r w:rsidRPr="009D087E">
        <w:rPr>
          <w:rFonts w:ascii="Tahoma" w:hAnsi="Tahoma" w:cs="Tahoma"/>
        </w:rPr>
        <w:t>49</w:t>
      </w:r>
      <w:r w:rsidRPr="009D087E">
        <w:rPr>
          <w:rFonts w:ascii="Tahoma" w:hAnsi="Tahoma" w:cs="Tahoma"/>
        </w:rPr>
        <w:fldChar w:fldCharType="end"/>
      </w:r>
    </w:p>
    <w:p w14:paraId="4DBB8B71" w14:textId="0BBBB9E7"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rPr>
        <w:t>11.</w:t>
      </w:r>
      <w:r w:rsidRPr="009D087E">
        <w:rPr>
          <w:rFonts w:ascii="Tahoma" w:eastAsiaTheme="minorEastAsia" w:hAnsi="Tahoma" w:cs="Tahoma"/>
          <w:kern w:val="2"/>
          <w14:ligatures w14:val="standardContextual"/>
        </w:rPr>
        <w:tab/>
      </w:r>
      <w:r w:rsidRPr="009D087E">
        <w:rPr>
          <w:rFonts w:ascii="Tahoma" w:hAnsi="Tahoma" w:cs="Tahoma"/>
        </w:rPr>
        <w:t>Applicant Declaration (Attachment 11)</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_Toc243558553 \h </w:instrText>
      </w:r>
      <w:r w:rsidRPr="009D087E">
        <w:rPr>
          <w:rFonts w:ascii="Tahoma" w:hAnsi="Tahoma" w:cs="Tahoma"/>
        </w:rPr>
      </w:r>
      <w:r w:rsidRPr="009D087E">
        <w:rPr>
          <w:rFonts w:ascii="Tahoma" w:hAnsi="Tahoma" w:cs="Tahoma"/>
        </w:rPr>
        <w:fldChar w:fldCharType="separate"/>
      </w:r>
      <w:r w:rsidRPr="009D087E">
        <w:rPr>
          <w:rFonts w:ascii="Tahoma" w:hAnsi="Tahoma" w:cs="Tahoma"/>
        </w:rPr>
        <w:t>49</w:t>
      </w:r>
      <w:r w:rsidRPr="009D087E">
        <w:rPr>
          <w:rFonts w:ascii="Tahoma" w:hAnsi="Tahoma" w:cs="Tahoma"/>
        </w:rPr>
        <w:fldChar w:fldCharType="end"/>
      </w:r>
    </w:p>
    <w:p w14:paraId="2EE13ADB" w14:textId="5B9A275C"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rPr>
        <w:t>12.</w:t>
      </w:r>
      <w:r w:rsidRPr="009D087E">
        <w:rPr>
          <w:rFonts w:ascii="Tahoma" w:eastAsiaTheme="minorEastAsia" w:hAnsi="Tahoma" w:cs="Tahoma"/>
          <w:kern w:val="2"/>
          <w14:ligatures w14:val="standardContextual"/>
        </w:rPr>
        <w:tab/>
      </w:r>
      <w:r w:rsidRPr="009D087E">
        <w:rPr>
          <w:rFonts w:ascii="Tahoma" w:hAnsi="Tahoma" w:cs="Tahoma"/>
        </w:rPr>
        <w:t>Project Readiness Checklist (Attachment 12)</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_Toc243558554 \h </w:instrText>
      </w:r>
      <w:r w:rsidRPr="009D087E">
        <w:rPr>
          <w:rFonts w:ascii="Tahoma" w:hAnsi="Tahoma" w:cs="Tahoma"/>
        </w:rPr>
      </w:r>
      <w:r w:rsidRPr="009D087E">
        <w:rPr>
          <w:rFonts w:ascii="Tahoma" w:hAnsi="Tahoma" w:cs="Tahoma"/>
        </w:rPr>
        <w:fldChar w:fldCharType="separate"/>
      </w:r>
      <w:r w:rsidRPr="009D087E">
        <w:rPr>
          <w:rFonts w:ascii="Tahoma" w:hAnsi="Tahoma" w:cs="Tahoma"/>
        </w:rPr>
        <w:t>49</w:t>
      </w:r>
      <w:r w:rsidRPr="009D087E">
        <w:rPr>
          <w:rFonts w:ascii="Tahoma" w:hAnsi="Tahoma" w:cs="Tahoma"/>
        </w:rPr>
        <w:fldChar w:fldCharType="end"/>
      </w:r>
    </w:p>
    <w:p w14:paraId="119B9E01" w14:textId="4380BC44"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rPr>
        <w:t>13.</w:t>
      </w:r>
      <w:r w:rsidRPr="009D087E">
        <w:rPr>
          <w:rFonts w:ascii="Tahoma" w:eastAsiaTheme="minorEastAsia" w:hAnsi="Tahoma" w:cs="Tahoma"/>
          <w:kern w:val="2"/>
          <w14:ligatures w14:val="standardContextual"/>
        </w:rPr>
        <w:tab/>
      </w:r>
      <w:r w:rsidRPr="009D087E">
        <w:rPr>
          <w:rFonts w:ascii="Tahoma" w:hAnsi="Tahoma" w:cs="Tahoma"/>
        </w:rPr>
        <w:t>Confidential Recipient Information and Pre-Existing Intellectual Property (Attachment 13)</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_Toc243558555 \h </w:instrText>
      </w:r>
      <w:r w:rsidRPr="009D087E">
        <w:rPr>
          <w:rFonts w:ascii="Tahoma" w:hAnsi="Tahoma" w:cs="Tahoma"/>
        </w:rPr>
      </w:r>
      <w:r w:rsidRPr="009D087E">
        <w:rPr>
          <w:rFonts w:ascii="Tahoma" w:hAnsi="Tahoma" w:cs="Tahoma"/>
        </w:rPr>
        <w:fldChar w:fldCharType="separate"/>
      </w:r>
      <w:r w:rsidRPr="009D087E">
        <w:rPr>
          <w:rFonts w:ascii="Tahoma" w:hAnsi="Tahoma" w:cs="Tahoma"/>
        </w:rPr>
        <w:t>49</w:t>
      </w:r>
      <w:r w:rsidRPr="009D087E">
        <w:rPr>
          <w:rFonts w:ascii="Tahoma" w:hAnsi="Tahoma" w:cs="Tahoma"/>
        </w:rPr>
        <w:fldChar w:fldCharType="end"/>
      </w:r>
    </w:p>
    <w:p w14:paraId="1A0959EB" w14:textId="382016DF"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rPr>
        <w:t>14.</w:t>
      </w:r>
      <w:r w:rsidRPr="009D087E">
        <w:rPr>
          <w:rFonts w:ascii="Tahoma" w:eastAsiaTheme="minorEastAsia" w:hAnsi="Tahoma" w:cs="Tahoma"/>
          <w:kern w:val="2"/>
          <w14:ligatures w14:val="standardContextual"/>
        </w:rPr>
        <w:tab/>
      </w:r>
      <w:r w:rsidRPr="009D087E">
        <w:rPr>
          <w:rFonts w:ascii="Tahoma" w:hAnsi="Tahoma" w:cs="Tahoma"/>
        </w:rPr>
        <w:t>For review: Terms and Conditions (Attachment 14)</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_Toc243558556 \h </w:instrText>
      </w:r>
      <w:r w:rsidRPr="009D087E">
        <w:rPr>
          <w:rFonts w:ascii="Tahoma" w:hAnsi="Tahoma" w:cs="Tahoma"/>
        </w:rPr>
      </w:r>
      <w:r w:rsidRPr="009D087E">
        <w:rPr>
          <w:rFonts w:ascii="Tahoma" w:hAnsi="Tahoma" w:cs="Tahoma"/>
        </w:rPr>
        <w:fldChar w:fldCharType="separate"/>
      </w:r>
      <w:r w:rsidRPr="009D087E">
        <w:rPr>
          <w:rFonts w:ascii="Tahoma" w:hAnsi="Tahoma" w:cs="Tahoma"/>
        </w:rPr>
        <w:t>49</w:t>
      </w:r>
      <w:r w:rsidRPr="009D087E">
        <w:rPr>
          <w:rFonts w:ascii="Tahoma" w:hAnsi="Tahoma" w:cs="Tahoma"/>
        </w:rPr>
        <w:fldChar w:fldCharType="end"/>
      </w:r>
    </w:p>
    <w:p w14:paraId="73CB3FC5" w14:textId="6070B647" w:rsidR="009D087E" w:rsidRPr="009D087E" w:rsidRDefault="009D087E">
      <w:pPr>
        <w:pStyle w:val="TOC4"/>
        <w:tabs>
          <w:tab w:val="left" w:pos="1320"/>
        </w:tabs>
        <w:rPr>
          <w:rFonts w:ascii="Tahoma" w:eastAsiaTheme="minorEastAsia" w:hAnsi="Tahoma" w:cs="Tahoma"/>
          <w:kern w:val="2"/>
          <w14:ligatures w14:val="standardContextual"/>
        </w:rPr>
      </w:pPr>
      <w:r w:rsidRPr="009D087E">
        <w:rPr>
          <w:rFonts w:ascii="Tahoma" w:hAnsi="Tahoma" w:cs="Tahoma"/>
          <w:lang w:eastAsia="ja-JP"/>
        </w:rPr>
        <w:t>15.</w:t>
      </w:r>
      <w:r w:rsidRPr="009D087E">
        <w:rPr>
          <w:rFonts w:ascii="Tahoma" w:eastAsiaTheme="minorEastAsia" w:hAnsi="Tahoma" w:cs="Tahoma"/>
          <w:kern w:val="2"/>
          <w14:ligatures w14:val="standardContextual"/>
        </w:rPr>
        <w:tab/>
      </w:r>
      <w:r w:rsidRPr="009D087E">
        <w:rPr>
          <w:rFonts w:ascii="Tahoma" w:hAnsi="Tahoma" w:cs="Tahoma"/>
          <w:lang w:eastAsia="ja-JP"/>
        </w:rPr>
        <w:t>For review: Special Terms and Conditions (Attachment 15)</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_Toc243558557 \h </w:instrText>
      </w:r>
      <w:r w:rsidRPr="009D087E">
        <w:rPr>
          <w:rFonts w:ascii="Tahoma" w:hAnsi="Tahoma" w:cs="Tahoma"/>
        </w:rPr>
      </w:r>
      <w:r w:rsidRPr="009D087E">
        <w:rPr>
          <w:rFonts w:ascii="Tahoma" w:hAnsi="Tahoma" w:cs="Tahoma"/>
        </w:rPr>
        <w:fldChar w:fldCharType="separate"/>
      </w:r>
      <w:r w:rsidRPr="009D087E">
        <w:rPr>
          <w:rFonts w:ascii="Tahoma" w:hAnsi="Tahoma" w:cs="Tahoma"/>
        </w:rPr>
        <w:t>50</w:t>
      </w:r>
      <w:r w:rsidRPr="009D087E">
        <w:rPr>
          <w:rFonts w:ascii="Tahoma" w:hAnsi="Tahoma" w:cs="Tahoma"/>
        </w:rPr>
        <w:fldChar w:fldCharType="end"/>
      </w:r>
    </w:p>
    <w:p w14:paraId="575A59A2" w14:textId="4683AF93" w:rsidR="009D087E" w:rsidRPr="009D087E" w:rsidRDefault="009D087E">
      <w:pPr>
        <w:pStyle w:val="TOC2"/>
        <w:rPr>
          <w:rFonts w:eastAsiaTheme="minorEastAsia" w:cs="Tahoma"/>
          <w:b w:val="0"/>
          <w:bCs w:val="0"/>
          <w:smallCaps w:val="0"/>
          <w:kern w:val="2"/>
          <w:szCs w:val="24"/>
          <w14:ligatures w14:val="standardContextual"/>
        </w:rPr>
      </w:pPr>
      <w:r w:rsidRPr="009D087E">
        <w:rPr>
          <w:rFonts w:cs="Tahoma"/>
          <w:szCs w:val="24"/>
        </w:rPr>
        <w:t>IV: Evaluation and Award Process</w:t>
      </w:r>
      <w:r w:rsidRPr="009D087E">
        <w:rPr>
          <w:rFonts w:cs="Tahoma"/>
          <w:szCs w:val="24"/>
        </w:rPr>
        <w:tab/>
      </w:r>
      <w:r w:rsidRPr="009D087E">
        <w:rPr>
          <w:rFonts w:cs="Tahoma"/>
          <w:szCs w:val="24"/>
        </w:rPr>
        <w:fldChar w:fldCharType="begin"/>
      </w:r>
      <w:r w:rsidRPr="009D087E">
        <w:rPr>
          <w:rFonts w:cs="Tahoma"/>
          <w:szCs w:val="24"/>
        </w:rPr>
        <w:instrText xml:space="preserve"> PAGEREF _Toc243558558 \h </w:instrText>
      </w:r>
      <w:r w:rsidRPr="009D087E">
        <w:rPr>
          <w:rFonts w:cs="Tahoma"/>
          <w:szCs w:val="24"/>
        </w:rPr>
      </w:r>
      <w:r w:rsidRPr="009D087E">
        <w:rPr>
          <w:rFonts w:cs="Tahoma"/>
          <w:szCs w:val="24"/>
        </w:rPr>
        <w:fldChar w:fldCharType="separate"/>
      </w:r>
      <w:r w:rsidRPr="009D087E">
        <w:rPr>
          <w:rFonts w:cs="Tahoma"/>
          <w:szCs w:val="24"/>
        </w:rPr>
        <w:t>51</w:t>
      </w:r>
      <w:r w:rsidRPr="009D087E">
        <w:rPr>
          <w:rFonts w:cs="Tahoma"/>
          <w:szCs w:val="24"/>
        </w:rPr>
        <w:fldChar w:fldCharType="end"/>
      </w:r>
    </w:p>
    <w:p w14:paraId="402D7970" w14:textId="688B9654"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A.</w:t>
      </w:r>
      <w:r w:rsidRPr="009D087E">
        <w:rPr>
          <w:rFonts w:eastAsiaTheme="minorEastAsia" w:cs="Tahoma"/>
          <w:iCs w:val="0"/>
          <w:noProof/>
          <w:kern w:val="2"/>
          <w:szCs w:val="24"/>
          <w14:ligatures w14:val="standardContextual"/>
        </w:rPr>
        <w:tab/>
      </w:r>
      <w:r w:rsidRPr="009D087E">
        <w:rPr>
          <w:rFonts w:cs="Tahoma"/>
          <w:noProof/>
          <w:szCs w:val="24"/>
        </w:rPr>
        <w:t>Application Evaluation</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_Toc243558559 \h </w:instrText>
      </w:r>
      <w:r w:rsidRPr="009D087E">
        <w:rPr>
          <w:rFonts w:cs="Tahoma"/>
          <w:noProof/>
          <w:szCs w:val="24"/>
        </w:rPr>
      </w:r>
      <w:r w:rsidRPr="009D087E">
        <w:rPr>
          <w:rFonts w:cs="Tahoma"/>
          <w:noProof/>
          <w:szCs w:val="24"/>
        </w:rPr>
        <w:fldChar w:fldCharType="separate"/>
      </w:r>
      <w:r w:rsidRPr="009D087E">
        <w:rPr>
          <w:rFonts w:cs="Tahoma"/>
          <w:noProof/>
          <w:szCs w:val="24"/>
        </w:rPr>
        <w:t>51</w:t>
      </w:r>
      <w:r w:rsidRPr="009D087E">
        <w:rPr>
          <w:rFonts w:cs="Tahoma"/>
          <w:noProof/>
          <w:szCs w:val="24"/>
        </w:rPr>
        <w:fldChar w:fldCharType="end"/>
      </w:r>
    </w:p>
    <w:p w14:paraId="2B989282" w14:textId="27B72E1C"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Phase One: Application Screening</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_Toc243558560 \h </w:instrText>
      </w:r>
      <w:r w:rsidRPr="009D087E">
        <w:rPr>
          <w:rFonts w:ascii="Tahoma" w:hAnsi="Tahoma" w:cs="Tahoma"/>
        </w:rPr>
      </w:r>
      <w:r w:rsidRPr="009D087E">
        <w:rPr>
          <w:rFonts w:ascii="Tahoma" w:hAnsi="Tahoma" w:cs="Tahoma"/>
        </w:rPr>
        <w:fldChar w:fldCharType="separate"/>
      </w:r>
      <w:r w:rsidRPr="009D087E">
        <w:rPr>
          <w:rFonts w:ascii="Tahoma" w:hAnsi="Tahoma" w:cs="Tahoma"/>
        </w:rPr>
        <w:t>51</w:t>
      </w:r>
      <w:r w:rsidRPr="009D087E">
        <w:rPr>
          <w:rFonts w:ascii="Tahoma" w:hAnsi="Tahoma" w:cs="Tahoma"/>
        </w:rPr>
        <w:fldChar w:fldCharType="end"/>
      </w:r>
    </w:p>
    <w:p w14:paraId="17395062" w14:textId="5324B313"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Phase Two: Application Scoring</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_Toc243558561 \h </w:instrText>
      </w:r>
      <w:r w:rsidRPr="009D087E">
        <w:rPr>
          <w:rFonts w:ascii="Tahoma" w:hAnsi="Tahoma" w:cs="Tahoma"/>
        </w:rPr>
      </w:r>
      <w:r w:rsidRPr="009D087E">
        <w:rPr>
          <w:rFonts w:ascii="Tahoma" w:hAnsi="Tahoma" w:cs="Tahoma"/>
        </w:rPr>
        <w:fldChar w:fldCharType="separate"/>
      </w:r>
      <w:r w:rsidRPr="009D087E">
        <w:rPr>
          <w:rFonts w:ascii="Tahoma" w:hAnsi="Tahoma" w:cs="Tahoma"/>
        </w:rPr>
        <w:t>51</w:t>
      </w:r>
      <w:r w:rsidRPr="009D087E">
        <w:rPr>
          <w:rFonts w:ascii="Tahoma" w:hAnsi="Tahoma" w:cs="Tahoma"/>
        </w:rPr>
        <w:fldChar w:fldCharType="end"/>
      </w:r>
    </w:p>
    <w:p w14:paraId="0CCD7A33" w14:textId="2BA5B250"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B.</w:t>
      </w:r>
      <w:r w:rsidRPr="009D087E">
        <w:rPr>
          <w:rFonts w:eastAsiaTheme="minorEastAsia" w:cs="Tahoma"/>
          <w:iCs w:val="0"/>
          <w:noProof/>
          <w:kern w:val="2"/>
          <w:szCs w:val="24"/>
          <w14:ligatures w14:val="standardContextual"/>
        </w:rPr>
        <w:tab/>
      </w:r>
      <w:r w:rsidRPr="009D087E">
        <w:rPr>
          <w:rFonts w:cs="Tahoma"/>
          <w:noProof/>
          <w:szCs w:val="24"/>
        </w:rPr>
        <w:t>Ranking, Notice of Proposed Award, and Agreements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_Toc243558562 \h </w:instrText>
      </w:r>
      <w:r w:rsidRPr="009D087E">
        <w:rPr>
          <w:rFonts w:cs="Tahoma"/>
          <w:noProof/>
          <w:szCs w:val="24"/>
        </w:rPr>
      </w:r>
      <w:r w:rsidRPr="009D087E">
        <w:rPr>
          <w:rFonts w:cs="Tahoma"/>
          <w:noProof/>
          <w:szCs w:val="24"/>
        </w:rPr>
        <w:fldChar w:fldCharType="separate"/>
      </w:r>
      <w:r w:rsidRPr="009D087E">
        <w:rPr>
          <w:rFonts w:cs="Tahoma"/>
          <w:noProof/>
          <w:szCs w:val="24"/>
        </w:rPr>
        <w:t>52</w:t>
      </w:r>
      <w:r w:rsidRPr="009D087E">
        <w:rPr>
          <w:rFonts w:cs="Tahoma"/>
          <w:noProof/>
          <w:szCs w:val="24"/>
        </w:rPr>
        <w:fldChar w:fldCharType="end"/>
      </w:r>
    </w:p>
    <w:p w14:paraId="41D5ABA7" w14:textId="6F67CE71"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Ranking and Notice of Proposed Award (NOPA)</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_Toc243558563 \h </w:instrText>
      </w:r>
      <w:r w:rsidRPr="009D087E">
        <w:rPr>
          <w:rFonts w:ascii="Tahoma" w:hAnsi="Tahoma" w:cs="Tahoma"/>
        </w:rPr>
      </w:r>
      <w:r w:rsidRPr="009D087E">
        <w:rPr>
          <w:rFonts w:ascii="Tahoma" w:hAnsi="Tahoma" w:cs="Tahoma"/>
        </w:rPr>
        <w:fldChar w:fldCharType="separate"/>
      </w:r>
      <w:r w:rsidRPr="009D087E">
        <w:rPr>
          <w:rFonts w:ascii="Tahoma" w:hAnsi="Tahoma" w:cs="Tahoma"/>
        </w:rPr>
        <w:t>52</w:t>
      </w:r>
      <w:r w:rsidRPr="009D087E">
        <w:rPr>
          <w:rFonts w:ascii="Tahoma" w:hAnsi="Tahoma" w:cs="Tahoma"/>
        </w:rPr>
        <w:fldChar w:fldCharType="end"/>
      </w:r>
    </w:p>
    <w:p w14:paraId="3D26F731" w14:textId="77797AC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Debriefings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_Toc243558564 \h </w:instrText>
      </w:r>
      <w:r w:rsidRPr="009D087E">
        <w:rPr>
          <w:rFonts w:ascii="Tahoma" w:hAnsi="Tahoma" w:cs="Tahoma"/>
        </w:rPr>
      </w:r>
      <w:r w:rsidRPr="009D087E">
        <w:rPr>
          <w:rFonts w:ascii="Tahoma" w:hAnsi="Tahoma" w:cs="Tahoma"/>
        </w:rPr>
        <w:fldChar w:fldCharType="separate"/>
      </w:r>
      <w:r w:rsidRPr="009D087E">
        <w:rPr>
          <w:rFonts w:ascii="Tahoma" w:hAnsi="Tahoma" w:cs="Tahoma"/>
        </w:rPr>
        <w:t>52</w:t>
      </w:r>
      <w:r w:rsidRPr="009D087E">
        <w:rPr>
          <w:rFonts w:ascii="Tahoma" w:hAnsi="Tahoma" w:cs="Tahoma"/>
        </w:rPr>
        <w:fldChar w:fldCharType="end"/>
      </w:r>
    </w:p>
    <w:p w14:paraId="1AE5DE42" w14:textId="44601F60"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3.</w:t>
      </w:r>
      <w:r w:rsidRPr="009D087E">
        <w:rPr>
          <w:rFonts w:ascii="Tahoma" w:eastAsiaTheme="minorEastAsia" w:hAnsi="Tahoma" w:cs="Tahoma"/>
          <w:kern w:val="2"/>
          <w14:ligatures w14:val="standardContextual"/>
        </w:rPr>
        <w:tab/>
      </w:r>
      <w:r w:rsidRPr="009D087E">
        <w:rPr>
          <w:rFonts w:ascii="Tahoma" w:hAnsi="Tahoma" w:cs="Tahoma"/>
        </w:rPr>
        <w:t>Agreements</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_Toc243558565 \h </w:instrText>
      </w:r>
      <w:r w:rsidRPr="009D087E">
        <w:rPr>
          <w:rFonts w:ascii="Tahoma" w:hAnsi="Tahoma" w:cs="Tahoma"/>
        </w:rPr>
      </w:r>
      <w:r w:rsidRPr="009D087E">
        <w:rPr>
          <w:rFonts w:ascii="Tahoma" w:hAnsi="Tahoma" w:cs="Tahoma"/>
        </w:rPr>
        <w:fldChar w:fldCharType="separate"/>
      </w:r>
      <w:r w:rsidRPr="009D087E">
        <w:rPr>
          <w:rFonts w:ascii="Tahoma" w:hAnsi="Tahoma" w:cs="Tahoma"/>
        </w:rPr>
        <w:t>52</w:t>
      </w:r>
      <w:r w:rsidRPr="009D087E">
        <w:rPr>
          <w:rFonts w:ascii="Tahoma" w:hAnsi="Tahoma" w:cs="Tahoma"/>
        </w:rPr>
        <w:fldChar w:fldCharType="end"/>
      </w:r>
    </w:p>
    <w:p w14:paraId="7F8C3A14" w14:textId="4B452803"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C.</w:t>
      </w:r>
      <w:r w:rsidRPr="009D087E">
        <w:rPr>
          <w:rFonts w:eastAsiaTheme="minorEastAsia" w:cs="Tahoma"/>
          <w:iCs w:val="0"/>
          <w:noProof/>
          <w:kern w:val="2"/>
          <w:szCs w:val="24"/>
          <w14:ligatures w14:val="standardContextual"/>
        </w:rPr>
        <w:tab/>
      </w:r>
      <w:r w:rsidRPr="009D087E">
        <w:rPr>
          <w:rFonts w:cs="Tahoma"/>
          <w:noProof/>
          <w:szCs w:val="24"/>
        </w:rPr>
        <w:t>Grounds to Reject an Application or Cancel an Award</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_Toc243558566 \h </w:instrText>
      </w:r>
      <w:r w:rsidRPr="009D087E">
        <w:rPr>
          <w:rFonts w:cs="Tahoma"/>
          <w:noProof/>
          <w:szCs w:val="24"/>
        </w:rPr>
      </w:r>
      <w:r w:rsidRPr="009D087E">
        <w:rPr>
          <w:rFonts w:cs="Tahoma"/>
          <w:noProof/>
          <w:szCs w:val="24"/>
        </w:rPr>
        <w:fldChar w:fldCharType="separate"/>
      </w:r>
      <w:r w:rsidRPr="009D087E">
        <w:rPr>
          <w:rFonts w:cs="Tahoma"/>
          <w:noProof/>
          <w:szCs w:val="24"/>
        </w:rPr>
        <w:t>53</w:t>
      </w:r>
      <w:r w:rsidRPr="009D087E">
        <w:rPr>
          <w:rFonts w:cs="Tahoma"/>
          <w:noProof/>
          <w:szCs w:val="24"/>
        </w:rPr>
        <w:fldChar w:fldCharType="end"/>
      </w:r>
    </w:p>
    <w:p w14:paraId="419D02A2" w14:textId="6063A745"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D.</w:t>
      </w:r>
      <w:r w:rsidRPr="009D087E">
        <w:rPr>
          <w:rFonts w:eastAsiaTheme="minorEastAsia" w:cs="Tahoma"/>
          <w:iCs w:val="0"/>
          <w:noProof/>
          <w:kern w:val="2"/>
          <w:szCs w:val="24"/>
          <w14:ligatures w14:val="standardContextual"/>
        </w:rPr>
        <w:tab/>
      </w:r>
      <w:r w:rsidRPr="009D087E">
        <w:rPr>
          <w:rFonts w:cs="Tahoma"/>
          <w:noProof/>
          <w:szCs w:val="24"/>
        </w:rPr>
        <w:t>Phase One: Application Screening</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_Toc243558567 \h </w:instrText>
      </w:r>
      <w:r w:rsidRPr="009D087E">
        <w:rPr>
          <w:rFonts w:cs="Tahoma"/>
          <w:noProof/>
          <w:szCs w:val="24"/>
        </w:rPr>
      </w:r>
      <w:r w:rsidRPr="009D087E">
        <w:rPr>
          <w:rFonts w:cs="Tahoma"/>
          <w:noProof/>
          <w:szCs w:val="24"/>
        </w:rPr>
        <w:fldChar w:fldCharType="separate"/>
      </w:r>
      <w:r w:rsidRPr="009D087E">
        <w:rPr>
          <w:rFonts w:cs="Tahoma"/>
          <w:noProof/>
          <w:szCs w:val="24"/>
        </w:rPr>
        <w:t>54</w:t>
      </w:r>
      <w:r w:rsidRPr="009D087E">
        <w:rPr>
          <w:rFonts w:cs="Tahoma"/>
          <w:noProof/>
          <w:szCs w:val="24"/>
        </w:rPr>
        <w:fldChar w:fldCharType="end"/>
      </w:r>
    </w:p>
    <w:p w14:paraId="3F7AD3F3" w14:textId="419834A7"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E.</w:t>
      </w:r>
      <w:r w:rsidRPr="009D087E">
        <w:rPr>
          <w:rFonts w:eastAsiaTheme="minorEastAsia" w:cs="Tahoma"/>
          <w:iCs w:val="0"/>
          <w:noProof/>
          <w:kern w:val="2"/>
          <w:szCs w:val="24"/>
          <w14:ligatures w14:val="standardContextual"/>
        </w:rPr>
        <w:tab/>
      </w:r>
      <w:r w:rsidRPr="009D087E">
        <w:rPr>
          <w:rFonts w:cs="Tahoma"/>
          <w:noProof/>
          <w:szCs w:val="24"/>
        </w:rPr>
        <w:t>Phase Two: Application Scoring</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_Toc243558568 \h </w:instrText>
      </w:r>
      <w:r w:rsidRPr="009D087E">
        <w:rPr>
          <w:rFonts w:cs="Tahoma"/>
          <w:noProof/>
          <w:szCs w:val="24"/>
        </w:rPr>
      </w:r>
      <w:r w:rsidRPr="009D087E">
        <w:rPr>
          <w:rFonts w:cs="Tahoma"/>
          <w:noProof/>
          <w:szCs w:val="24"/>
        </w:rPr>
        <w:fldChar w:fldCharType="separate"/>
      </w:r>
      <w:r w:rsidRPr="009D087E">
        <w:rPr>
          <w:rFonts w:cs="Tahoma"/>
          <w:noProof/>
          <w:szCs w:val="24"/>
        </w:rPr>
        <w:t>56</w:t>
      </w:r>
      <w:r w:rsidRPr="009D087E">
        <w:rPr>
          <w:rFonts w:cs="Tahoma"/>
          <w:noProof/>
          <w:szCs w:val="24"/>
        </w:rPr>
        <w:fldChar w:fldCharType="end"/>
      </w:r>
    </w:p>
    <w:p w14:paraId="6621D59C" w14:textId="6E7EECE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1.</w:t>
      </w:r>
      <w:r w:rsidRPr="009D087E">
        <w:rPr>
          <w:rFonts w:ascii="Tahoma" w:eastAsiaTheme="minorEastAsia" w:hAnsi="Tahoma" w:cs="Tahoma"/>
          <w:kern w:val="2"/>
          <w14:ligatures w14:val="standardContextual"/>
        </w:rPr>
        <w:tab/>
      </w:r>
      <w:r w:rsidRPr="009D087E">
        <w:rPr>
          <w:rFonts w:ascii="Tahoma" w:hAnsi="Tahoma" w:cs="Tahoma"/>
        </w:rPr>
        <w:t>Scoring Scale</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_Toc243558569 \h </w:instrText>
      </w:r>
      <w:r w:rsidRPr="009D087E">
        <w:rPr>
          <w:rFonts w:ascii="Tahoma" w:hAnsi="Tahoma" w:cs="Tahoma"/>
        </w:rPr>
      </w:r>
      <w:r w:rsidRPr="009D087E">
        <w:rPr>
          <w:rFonts w:ascii="Tahoma" w:hAnsi="Tahoma" w:cs="Tahoma"/>
        </w:rPr>
        <w:fldChar w:fldCharType="separate"/>
      </w:r>
      <w:r w:rsidRPr="009D087E">
        <w:rPr>
          <w:rFonts w:ascii="Tahoma" w:hAnsi="Tahoma" w:cs="Tahoma"/>
        </w:rPr>
        <w:t>56</w:t>
      </w:r>
      <w:r w:rsidRPr="009D087E">
        <w:rPr>
          <w:rFonts w:ascii="Tahoma" w:hAnsi="Tahoma" w:cs="Tahoma"/>
        </w:rPr>
        <w:fldChar w:fldCharType="end"/>
      </w:r>
    </w:p>
    <w:p w14:paraId="3B0CB4B0" w14:textId="1A82714F" w:rsidR="009D087E" w:rsidRPr="009D087E" w:rsidRDefault="009D087E">
      <w:pPr>
        <w:pStyle w:val="TOC4"/>
        <w:tabs>
          <w:tab w:val="left" w:pos="1100"/>
        </w:tabs>
        <w:rPr>
          <w:rFonts w:ascii="Tahoma" w:eastAsiaTheme="minorEastAsia" w:hAnsi="Tahoma" w:cs="Tahoma"/>
          <w:kern w:val="2"/>
          <w14:ligatures w14:val="standardContextual"/>
        </w:rPr>
      </w:pPr>
      <w:r w:rsidRPr="009D087E">
        <w:rPr>
          <w:rFonts w:ascii="Tahoma" w:hAnsi="Tahoma" w:cs="Tahoma"/>
        </w:rPr>
        <w:t>2.</w:t>
      </w:r>
      <w:r w:rsidRPr="009D087E">
        <w:rPr>
          <w:rFonts w:ascii="Tahoma" w:eastAsiaTheme="minorEastAsia" w:hAnsi="Tahoma" w:cs="Tahoma"/>
          <w:kern w:val="2"/>
          <w14:ligatures w14:val="standardContextual"/>
        </w:rPr>
        <w:tab/>
      </w:r>
      <w:r w:rsidRPr="009D087E">
        <w:rPr>
          <w:rFonts w:ascii="Tahoma" w:hAnsi="Tahoma" w:cs="Tahoma"/>
        </w:rPr>
        <w:t>Scoring Criteria</w:t>
      </w:r>
      <w:r w:rsidRPr="009D087E">
        <w:rPr>
          <w:rFonts w:ascii="Tahoma" w:hAnsi="Tahoma" w:cs="Tahoma"/>
        </w:rPr>
        <w:tab/>
      </w:r>
      <w:r w:rsidRPr="009D087E">
        <w:rPr>
          <w:rFonts w:ascii="Tahoma" w:hAnsi="Tahoma" w:cs="Tahoma"/>
        </w:rPr>
        <w:fldChar w:fldCharType="begin"/>
      </w:r>
      <w:r w:rsidRPr="009D087E">
        <w:rPr>
          <w:rFonts w:ascii="Tahoma" w:hAnsi="Tahoma" w:cs="Tahoma"/>
        </w:rPr>
        <w:instrText xml:space="preserve"> PAGEREF _Toc243558570 \h </w:instrText>
      </w:r>
      <w:r w:rsidRPr="009D087E">
        <w:rPr>
          <w:rFonts w:ascii="Tahoma" w:hAnsi="Tahoma" w:cs="Tahoma"/>
        </w:rPr>
      </w:r>
      <w:r w:rsidRPr="009D087E">
        <w:rPr>
          <w:rFonts w:ascii="Tahoma" w:hAnsi="Tahoma" w:cs="Tahoma"/>
        </w:rPr>
        <w:fldChar w:fldCharType="separate"/>
      </w:r>
      <w:r w:rsidRPr="009D087E">
        <w:rPr>
          <w:rFonts w:ascii="Tahoma" w:hAnsi="Tahoma" w:cs="Tahoma"/>
        </w:rPr>
        <w:t>57</w:t>
      </w:r>
      <w:r w:rsidRPr="009D087E">
        <w:rPr>
          <w:rFonts w:ascii="Tahoma" w:hAnsi="Tahoma" w:cs="Tahoma"/>
        </w:rPr>
        <w:fldChar w:fldCharType="end"/>
      </w:r>
    </w:p>
    <w:p w14:paraId="717C96CE" w14:textId="06C83DF1" w:rsidR="009D087E" w:rsidRPr="009D087E" w:rsidRDefault="009D087E">
      <w:pPr>
        <w:pStyle w:val="TOC2"/>
        <w:rPr>
          <w:rFonts w:eastAsiaTheme="minorEastAsia" w:cs="Tahoma"/>
          <w:b w:val="0"/>
          <w:bCs w:val="0"/>
          <w:smallCaps w:val="0"/>
          <w:kern w:val="2"/>
          <w:szCs w:val="24"/>
          <w14:ligatures w14:val="standardContextual"/>
        </w:rPr>
      </w:pPr>
      <w:r w:rsidRPr="009D087E">
        <w:rPr>
          <w:rFonts w:cs="Tahoma"/>
          <w:szCs w:val="24"/>
        </w:rPr>
        <w:t>V: Administrative Considerations</w:t>
      </w:r>
      <w:r w:rsidRPr="009D087E">
        <w:rPr>
          <w:rFonts w:cs="Tahoma"/>
          <w:szCs w:val="24"/>
        </w:rPr>
        <w:tab/>
      </w:r>
      <w:r w:rsidRPr="009D087E">
        <w:rPr>
          <w:rFonts w:cs="Tahoma"/>
          <w:szCs w:val="24"/>
        </w:rPr>
        <w:fldChar w:fldCharType="begin"/>
      </w:r>
      <w:r w:rsidRPr="009D087E">
        <w:rPr>
          <w:rFonts w:cs="Tahoma"/>
          <w:szCs w:val="24"/>
        </w:rPr>
        <w:instrText xml:space="preserve"> PAGEREF _Toc243558571 \h </w:instrText>
      </w:r>
      <w:r w:rsidRPr="009D087E">
        <w:rPr>
          <w:rFonts w:cs="Tahoma"/>
          <w:szCs w:val="24"/>
        </w:rPr>
      </w:r>
      <w:r w:rsidRPr="009D087E">
        <w:rPr>
          <w:rFonts w:cs="Tahoma"/>
          <w:szCs w:val="24"/>
        </w:rPr>
        <w:fldChar w:fldCharType="separate"/>
      </w:r>
      <w:r w:rsidRPr="009D087E">
        <w:rPr>
          <w:rFonts w:cs="Tahoma"/>
          <w:szCs w:val="24"/>
        </w:rPr>
        <w:t>67</w:t>
      </w:r>
      <w:r w:rsidRPr="009D087E">
        <w:rPr>
          <w:rFonts w:cs="Tahoma"/>
          <w:szCs w:val="24"/>
        </w:rPr>
        <w:fldChar w:fldCharType="end"/>
      </w:r>
    </w:p>
    <w:p w14:paraId="53B258FE" w14:textId="137F6EEC"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A.</w:t>
      </w:r>
      <w:r w:rsidRPr="009D087E">
        <w:rPr>
          <w:rFonts w:eastAsiaTheme="minorEastAsia" w:cs="Tahoma"/>
          <w:iCs w:val="0"/>
          <w:noProof/>
          <w:kern w:val="2"/>
          <w:szCs w:val="24"/>
          <w14:ligatures w14:val="standardContextual"/>
        </w:rPr>
        <w:tab/>
      </w:r>
      <w:r w:rsidRPr="009D087E">
        <w:rPr>
          <w:rFonts w:cs="Tahoma"/>
          <w:noProof/>
          <w:szCs w:val="24"/>
        </w:rPr>
        <w:t>Cost of Developing Application</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_Toc243558572 \h </w:instrText>
      </w:r>
      <w:r w:rsidRPr="009D087E">
        <w:rPr>
          <w:rFonts w:cs="Tahoma"/>
          <w:noProof/>
          <w:szCs w:val="24"/>
        </w:rPr>
      </w:r>
      <w:r w:rsidRPr="009D087E">
        <w:rPr>
          <w:rFonts w:cs="Tahoma"/>
          <w:noProof/>
          <w:szCs w:val="24"/>
        </w:rPr>
        <w:fldChar w:fldCharType="separate"/>
      </w:r>
      <w:r w:rsidRPr="009D087E">
        <w:rPr>
          <w:rFonts w:cs="Tahoma"/>
          <w:noProof/>
          <w:szCs w:val="24"/>
        </w:rPr>
        <w:t>67</w:t>
      </w:r>
      <w:r w:rsidRPr="009D087E">
        <w:rPr>
          <w:rFonts w:cs="Tahoma"/>
          <w:noProof/>
          <w:szCs w:val="24"/>
        </w:rPr>
        <w:fldChar w:fldCharType="end"/>
      </w:r>
    </w:p>
    <w:p w14:paraId="7C0CE15C" w14:textId="787FFCF6"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B.</w:t>
      </w:r>
      <w:r w:rsidRPr="009D087E">
        <w:rPr>
          <w:rFonts w:eastAsiaTheme="minorEastAsia" w:cs="Tahoma"/>
          <w:iCs w:val="0"/>
          <w:noProof/>
          <w:kern w:val="2"/>
          <w:szCs w:val="24"/>
          <w14:ligatures w14:val="standardContextual"/>
        </w:rPr>
        <w:tab/>
      </w:r>
      <w:r w:rsidRPr="009D087E">
        <w:rPr>
          <w:rFonts w:cs="Tahoma"/>
          <w:noProof/>
          <w:szCs w:val="24"/>
        </w:rPr>
        <w:t>Applicants’ Admonishment</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_Toc243558573 \h </w:instrText>
      </w:r>
      <w:r w:rsidRPr="009D087E">
        <w:rPr>
          <w:rFonts w:cs="Tahoma"/>
          <w:noProof/>
          <w:szCs w:val="24"/>
        </w:rPr>
      </w:r>
      <w:r w:rsidRPr="009D087E">
        <w:rPr>
          <w:rFonts w:cs="Tahoma"/>
          <w:noProof/>
          <w:szCs w:val="24"/>
        </w:rPr>
        <w:fldChar w:fldCharType="separate"/>
      </w:r>
      <w:r w:rsidRPr="009D087E">
        <w:rPr>
          <w:rFonts w:cs="Tahoma"/>
          <w:noProof/>
          <w:szCs w:val="24"/>
        </w:rPr>
        <w:t>67</w:t>
      </w:r>
      <w:r w:rsidRPr="009D087E">
        <w:rPr>
          <w:rFonts w:cs="Tahoma"/>
          <w:noProof/>
          <w:szCs w:val="24"/>
        </w:rPr>
        <w:fldChar w:fldCharType="end"/>
      </w:r>
    </w:p>
    <w:p w14:paraId="152E8581" w14:textId="6CF1E0E5"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C.</w:t>
      </w:r>
      <w:r w:rsidRPr="009D087E">
        <w:rPr>
          <w:rFonts w:eastAsiaTheme="minorEastAsia" w:cs="Tahoma"/>
          <w:iCs w:val="0"/>
          <w:noProof/>
          <w:kern w:val="2"/>
          <w:szCs w:val="24"/>
          <w14:ligatures w14:val="standardContextual"/>
        </w:rPr>
        <w:tab/>
      </w:r>
      <w:r w:rsidRPr="009D087E">
        <w:rPr>
          <w:rFonts w:cs="Tahoma"/>
          <w:noProof/>
          <w:szCs w:val="24"/>
        </w:rPr>
        <w:t>Solicitation Cancellation and Amendment</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_Toc243558574 \h </w:instrText>
      </w:r>
      <w:r w:rsidRPr="009D087E">
        <w:rPr>
          <w:rFonts w:cs="Tahoma"/>
          <w:noProof/>
          <w:szCs w:val="24"/>
        </w:rPr>
      </w:r>
      <w:r w:rsidRPr="009D087E">
        <w:rPr>
          <w:rFonts w:cs="Tahoma"/>
          <w:noProof/>
          <w:szCs w:val="24"/>
        </w:rPr>
        <w:fldChar w:fldCharType="separate"/>
      </w:r>
      <w:r w:rsidRPr="009D087E">
        <w:rPr>
          <w:rFonts w:cs="Tahoma"/>
          <w:noProof/>
          <w:szCs w:val="24"/>
        </w:rPr>
        <w:t>67</w:t>
      </w:r>
      <w:r w:rsidRPr="009D087E">
        <w:rPr>
          <w:rFonts w:cs="Tahoma"/>
          <w:noProof/>
          <w:szCs w:val="24"/>
        </w:rPr>
        <w:fldChar w:fldCharType="end"/>
      </w:r>
    </w:p>
    <w:p w14:paraId="34C45BBD" w14:textId="58A51509"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D.</w:t>
      </w:r>
      <w:r w:rsidRPr="009D087E">
        <w:rPr>
          <w:rFonts w:eastAsiaTheme="minorEastAsia" w:cs="Tahoma"/>
          <w:iCs w:val="0"/>
          <w:noProof/>
          <w:kern w:val="2"/>
          <w:szCs w:val="24"/>
          <w14:ligatures w14:val="standardContextual"/>
        </w:rPr>
        <w:tab/>
      </w:r>
      <w:r w:rsidRPr="009D087E">
        <w:rPr>
          <w:rFonts w:cs="Tahoma"/>
          <w:noProof/>
          <w:szCs w:val="24"/>
        </w:rPr>
        <w:t>Confidentiality</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_Toc243558575 \h </w:instrText>
      </w:r>
      <w:r w:rsidRPr="009D087E">
        <w:rPr>
          <w:rFonts w:cs="Tahoma"/>
          <w:noProof/>
          <w:szCs w:val="24"/>
        </w:rPr>
      </w:r>
      <w:r w:rsidRPr="009D087E">
        <w:rPr>
          <w:rFonts w:cs="Tahoma"/>
          <w:noProof/>
          <w:szCs w:val="24"/>
        </w:rPr>
        <w:fldChar w:fldCharType="separate"/>
      </w:r>
      <w:r w:rsidRPr="009D087E">
        <w:rPr>
          <w:rFonts w:cs="Tahoma"/>
          <w:noProof/>
          <w:szCs w:val="24"/>
        </w:rPr>
        <w:t>67</w:t>
      </w:r>
      <w:r w:rsidRPr="009D087E">
        <w:rPr>
          <w:rFonts w:cs="Tahoma"/>
          <w:noProof/>
          <w:szCs w:val="24"/>
        </w:rPr>
        <w:fldChar w:fldCharType="end"/>
      </w:r>
    </w:p>
    <w:p w14:paraId="6C002C23" w14:textId="20965EC5"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E.</w:t>
      </w:r>
      <w:r w:rsidRPr="009D087E">
        <w:rPr>
          <w:rFonts w:eastAsiaTheme="minorEastAsia" w:cs="Tahoma"/>
          <w:iCs w:val="0"/>
          <w:noProof/>
          <w:kern w:val="2"/>
          <w:szCs w:val="24"/>
          <w14:ligatures w14:val="standardContextual"/>
        </w:rPr>
        <w:tab/>
      </w:r>
      <w:r w:rsidRPr="009D087E">
        <w:rPr>
          <w:rFonts w:cs="Tahoma"/>
          <w:noProof/>
          <w:szCs w:val="24"/>
        </w:rPr>
        <w:t>Solicitation Errors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_Toc243558576 \h </w:instrText>
      </w:r>
      <w:r w:rsidRPr="009D087E">
        <w:rPr>
          <w:rFonts w:cs="Tahoma"/>
          <w:noProof/>
          <w:szCs w:val="24"/>
        </w:rPr>
      </w:r>
      <w:r w:rsidRPr="009D087E">
        <w:rPr>
          <w:rFonts w:cs="Tahoma"/>
          <w:noProof/>
          <w:szCs w:val="24"/>
        </w:rPr>
        <w:fldChar w:fldCharType="separate"/>
      </w:r>
      <w:r w:rsidRPr="009D087E">
        <w:rPr>
          <w:rFonts w:cs="Tahoma"/>
          <w:noProof/>
          <w:szCs w:val="24"/>
        </w:rPr>
        <w:t>67</w:t>
      </w:r>
      <w:r w:rsidRPr="009D087E">
        <w:rPr>
          <w:rFonts w:cs="Tahoma"/>
          <w:noProof/>
          <w:szCs w:val="24"/>
        </w:rPr>
        <w:fldChar w:fldCharType="end"/>
      </w:r>
    </w:p>
    <w:p w14:paraId="5DAA29AF" w14:textId="4FD03A01"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F.</w:t>
      </w:r>
      <w:r w:rsidRPr="009D087E">
        <w:rPr>
          <w:rFonts w:eastAsiaTheme="minorEastAsia" w:cs="Tahoma"/>
          <w:iCs w:val="0"/>
          <w:noProof/>
          <w:kern w:val="2"/>
          <w:szCs w:val="24"/>
          <w14:ligatures w14:val="standardContextual"/>
        </w:rPr>
        <w:tab/>
      </w:r>
      <w:r w:rsidRPr="009D087E">
        <w:rPr>
          <w:rFonts w:cs="Tahoma"/>
          <w:noProof/>
          <w:szCs w:val="24"/>
        </w:rPr>
        <w:t>Immaterial Defect</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_Toc243558577 \h </w:instrText>
      </w:r>
      <w:r w:rsidRPr="009D087E">
        <w:rPr>
          <w:rFonts w:cs="Tahoma"/>
          <w:noProof/>
          <w:szCs w:val="24"/>
        </w:rPr>
      </w:r>
      <w:r w:rsidRPr="009D087E">
        <w:rPr>
          <w:rFonts w:cs="Tahoma"/>
          <w:noProof/>
          <w:szCs w:val="24"/>
        </w:rPr>
        <w:fldChar w:fldCharType="separate"/>
      </w:r>
      <w:r w:rsidRPr="009D087E">
        <w:rPr>
          <w:rFonts w:cs="Tahoma"/>
          <w:noProof/>
          <w:szCs w:val="24"/>
        </w:rPr>
        <w:t>68</w:t>
      </w:r>
      <w:r w:rsidRPr="009D087E">
        <w:rPr>
          <w:rFonts w:cs="Tahoma"/>
          <w:noProof/>
          <w:szCs w:val="24"/>
        </w:rPr>
        <w:fldChar w:fldCharType="end"/>
      </w:r>
    </w:p>
    <w:p w14:paraId="640DF8DC" w14:textId="14C23714"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G.</w:t>
      </w:r>
      <w:r w:rsidRPr="009D087E">
        <w:rPr>
          <w:rFonts w:eastAsiaTheme="minorEastAsia" w:cs="Tahoma"/>
          <w:iCs w:val="0"/>
          <w:noProof/>
          <w:kern w:val="2"/>
          <w:szCs w:val="24"/>
          <w14:ligatures w14:val="standardContextual"/>
        </w:rPr>
        <w:tab/>
      </w:r>
      <w:r w:rsidRPr="009D087E">
        <w:rPr>
          <w:rFonts w:cs="Tahoma"/>
          <w:noProof/>
          <w:szCs w:val="24"/>
        </w:rPr>
        <w:t>Clarification Interviews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_Toc243558578 \h </w:instrText>
      </w:r>
      <w:r w:rsidRPr="009D087E">
        <w:rPr>
          <w:rFonts w:cs="Tahoma"/>
          <w:noProof/>
          <w:szCs w:val="24"/>
        </w:rPr>
      </w:r>
      <w:r w:rsidRPr="009D087E">
        <w:rPr>
          <w:rFonts w:cs="Tahoma"/>
          <w:noProof/>
          <w:szCs w:val="24"/>
        </w:rPr>
        <w:fldChar w:fldCharType="separate"/>
      </w:r>
      <w:r w:rsidRPr="009D087E">
        <w:rPr>
          <w:rFonts w:cs="Tahoma"/>
          <w:noProof/>
          <w:szCs w:val="24"/>
        </w:rPr>
        <w:t>68</w:t>
      </w:r>
      <w:r w:rsidRPr="009D087E">
        <w:rPr>
          <w:rFonts w:cs="Tahoma"/>
          <w:noProof/>
          <w:szCs w:val="24"/>
        </w:rPr>
        <w:fldChar w:fldCharType="end"/>
      </w:r>
    </w:p>
    <w:p w14:paraId="07110B68" w14:textId="2F765C2C"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H.</w:t>
      </w:r>
      <w:r w:rsidRPr="009D087E">
        <w:rPr>
          <w:rFonts w:eastAsiaTheme="minorEastAsia" w:cs="Tahoma"/>
          <w:iCs w:val="0"/>
          <w:noProof/>
          <w:kern w:val="2"/>
          <w:szCs w:val="24"/>
          <w14:ligatures w14:val="standardContextual"/>
        </w:rPr>
        <w:tab/>
      </w:r>
      <w:r w:rsidRPr="009D087E">
        <w:rPr>
          <w:rFonts w:cs="Tahoma"/>
          <w:noProof/>
          <w:szCs w:val="24"/>
        </w:rPr>
        <w:t>Opportunity to Cure Administrative Errors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_Toc243558579 \h </w:instrText>
      </w:r>
      <w:r w:rsidRPr="009D087E">
        <w:rPr>
          <w:rFonts w:cs="Tahoma"/>
          <w:noProof/>
          <w:szCs w:val="24"/>
        </w:rPr>
      </w:r>
      <w:r w:rsidRPr="009D087E">
        <w:rPr>
          <w:rFonts w:cs="Tahoma"/>
          <w:noProof/>
          <w:szCs w:val="24"/>
        </w:rPr>
        <w:fldChar w:fldCharType="separate"/>
      </w:r>
      <w:r w:rsidRPr="009D087E">
        <w:rPr>
          <w:rFonts w:cs="Tahoma"/>
          <w:noProof/>
          <w:szCs w:val="24"/>
        </w:rPr>
        <w:t>68</w:t>
      </w:r>
      <w:r w:rsidRPr="009D087E">
        <w:rPr>
          <w:rFonts w:cs="Tahoma"/>
          <w:noProof/>
          <w:szCs w:val="24"/>
        </w:rPr>
        <w:fldChar w:fldCharType="end"/>
      </w:r>
    </w:p>
    <w:p w14:paraId="33EF5572" w14:textId="38792D2F"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I.</w:t>
      </w:r>
      <w:r w:rsidRPr="009D087E">
        <w:rPr>
          <w:rFonts w:eastAsiaTheme="minorEastAsia" w:cs="Tahoma"/>
          <w:iCs w:val="0"/>
          <w:noProof/>
          <w:kern w:val="2"/>
          <w:szCs w:val="24"/>
          <w14:ligatures w14:val="standardContextual"/>
        </w:rPr>
        <w:tab/>
      </w:r>
      <w:r w:rsidRPr="009D087E">
        <w:rPr>
          <w:rFonts w:cs="Tahoma"/>
          <w:noProof/>
          <w:szCs w:val="24"/>
        </w:rPr>
        <w:t>Disposition of Applicant’s Documents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_Toc243558580 \h </w:instrText>
      </w:r>
      <w:r w:rsidRPr="009D087E">
        <w:rPr>
          <w:rFonts w:cs="Tahoma"/>
          <w:noProof/>
          <w:szCs w:val="24"/>
        </w:rPr>
      </w:r>
      <w:r w:rsidRPr="009D087E">
        <w:rPr>
          <w:rFonts w:cs="Tahoma"/>
          <w:noProof/>
          <w:szCs w:val="24"/>
        </w:rPr>
        <w:fldChar w:fldCharType="separate"/>
      </w:r>
      <w:r w:rsidRPr="009D087E">
        <w:rPr>
          <w:rFonts w:cs="Tahoma"/>
          <w:noProof/>
          <w:szCs w:val="24"/>
        </w:rPr>
        <w:t>69</w:t>
      </w:r>
      <w:r w:rsidRPr="009D087E">
        <w:rPr>
          <w:rFonts w:cs="Tahoma"/>
          <w:noProof/>
          <w:szCs w:val="24"/>
        </w:rPr>
        <w:fldChar w:fldCharType="end"/>
      </w:r>
    </w:p>
    <w:p w14:paraId="7FADC6E2" w14:textId="73E257D4" w:rsidR="009D087E" w:rsidRPr="009D087E" w:rsidRDefault="009D087E">
      <w:pPr>
        <w:pStyle w:val="TOC3"/>
        <w:rPr>
          <w:rFonts w:eastAsiaTheme="minorEastAsia" w:cs="Tahoma"/>
          <w:iCs w:val="0"/>
          <w:noProof/>
          <w:kern w:val="2"/>
          <w:szCs w:val="24"/>
          <w14:ligatures w14:val="standardContextual"/>
        </w:rPr>
      </w:pPr>
      <w:r w:rsidRPr="009D087E">
        <w:rPr>
          <w:rFonts w:cs="Tahoma"/>
          <w:smallCaps/>
          <w:noProof/>
          <w:szCs w:val="24"/>
        </w:rPr>
        <w:lastRenderedPageBreak/>
        <w:t>J.</w:t>
      </w:r>
      <w:r w:rsidRPr="009D087E">
        <w:rPr>
          <w:rFonts w:eastAsiaTheme="minorEastAsia" w:cs="Tahoma"/>
          <w:iCs w:val="0"/>
          <w:noProof/>
          <w:kern w:val="2"/>
          <w:szCs w:val="24"/>
          <w14:ligatures w14:val="standardContextual"/>
        </w:rPr>
        <w:tab/>
      </w:r>
      <w:r w:rsidRPr="009D087E">
        <w:rPr>
          <w:rFonts w:cs="Tahoma"/>
          <w:noProof/>
          <w:szCs w:val="24"/>
        </w:rPr>
        <w:t>Agreement</w:t>
      </w:r>
      <w:r w:rsidRPr="009D087E">
        <w:rPr>
          <w:rFonts w:cs="Tahoma"/>
          <w:smallCaps/>
          <w:noProof/>
          <w:szCs w:val="24"/>
        </w:rPr>
        <w:t xml:space="preserve"> </w:t>
      </w:r>
      <w:r w:rsidRPr="009D087E">
        <w:rPr>
          <w:rFonts w:cs="Tahoma"/>
          <w:noProof/>
          <w:szCs w:val="24"/>
        </w:rPr>
        <w:t>Requirements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_Toc243558581 \h </w:instrText>
      </w:r>
      <w:r w:rsidRPr="009D087E">
        <w:rPr>
          <w:rFonts w:cs="Tahoma"/>
          <w:noProof/>
          <w:szCs w:val="24"/>
        </w:rPr>
      </w:r>
      <w:r w:rsidRPr="009D087E">
        <w:rPr>
          <w:rFonts w:cs="Tahoma"/>
          <w:noProof/>
          <w:szCs w:val="24"/>
        </w:rPr>
        <w:fldChar w:fldCharType="separate"/>
      </w:r>
      <w:r w:rsidRPr="009D087E">
        <w:rPr>
          <w:rFonts w:cs="Tahoma"/>
          <w:noProof/>
          <w:szCs w:val="24"/>
        </w:rPr>
        <w:t>70</w:t>
      </w:r>
      <w:r w:rsidRPr="009D087E">
        <w:rPr>
          <w:rFonts w:cs="Tahoma"/>
          <w:noProof/>
          <w:szCs w:val="24"/>
        </w:rPr>
        <w:fldChar w:fldCharType="end"/>
      </w:r>
    </w:p>
    <w:p w14:paraId="48B3CF73" w14:textId="469218D7" w:rsidR="009D087E" w:rsidRPr="009D087E" w:rsidRDefault="009D087E">
      <w:pPr>
        <w:pStyle w:val="TOC3"/>
        <w:rPr>
          <w:rFonts w:eastAsiaTheme="minorEastAsia" w:cs="Tahoma"/>
          <w:iCs w:val="0"/>
          <w:noProof/>
          <w:kern w:val="2"/>
          <w:szCs w:val="24"/>
          <w14:ligatures w14:val="standardContextual"/>
        </w:rPr>
      </w:pPr>
      <w:r w:rsidRPr="009D087E">
        <w:rPr>
          <w:rFonts w:cs="Tahoma"/>
          <w:smallCaps/>
          <w:noProof/>
          <w:szCs w:val="24"/>
        </w:rPr>
        <w:t>K.</w:t>
      </w:r>
      <w:r w:rsidRPr="009D087E">
        <w:rPr>
          <w:rFonts w:eastAsiaTheme="minorEastAsia" w:cs="Tahoma"/>
          <w:iCs w:val="0"/>
          <w:noProof/>
          <w:kern w:val="2"/>
          <w:szCs w:val="24"/>
          <w14:ligatures w14:val="standardContextual"/>
        </w:rPr>
        <w:tab/>
      </w:r>
      <w:r w:rsidRPr="009D087E">
        <w:rPr>
          <w:rFonts w:cs="Tahoma"/>
          <w:smallCaps/>
          <w:noProof/>
          <w:szCs w:val="24"/>
        </w:rPr>
        <w:t xml:space="preserve">No </w:t>
      </w:r>
      <w:r w:rsidRPr="009D087E">
        <w:rPr>
          <w:rFonts w:cs="Tahoma"/>
          <w:noProof/>
          <w:szCs w:val="24"/>
        </w:rPr>
        <w:t>Agreement</w:t>
      </w:r>
      <w:r w:rsidRPr="009D087E">
        <w:rPr>
          <w:rFonts w:cs="Tahoma"/>
          <w:smallCaps/>
          <w:noProof/>
          <w:szCs w:val="24"/>
        </w:rPr>
        <w:t xml:space="preserve"> </w:t>
      </w:r>
      <w:r w:rsidRPr="009D087E">
        <w:rPr>
          <w:rFonts w:cs="Tahoma"/>
          <w:noProof/>
          <w:szCs w:val="24"/>
        </w:rPr>
        <w:t>Until</w:t>
      </w:r>
      <w:r w:rsidRPr="009D087E">
        <w:rPr>
          <w:rFonts w:cs="Tahoma"/>
          <w:smallCaps/>
          <w:noProof/>
          <w:szCs w:val="24"/>
        </w:rPr>
        <w:t xml:space="preserve"> </w:t>
      </w:r>
      <w:r w:rsidRPr="009D087E">
        <w:rPr>
          <w:rFonts w:cs="Tahoma"/>
          <w:noProof/>
          <w:szCs w:val="24"/>
        </w:rPr>
        <w:t>Signed and Approved</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_Toc243558582 \h </w:instrText>
      </w:r>
      <w:r w:rsidRPr="009D087E">
        <w:rPr>
          <w:rFonts w:cs="Tahoma"/>
          <w:noProof/>
          <w:szCs w:val="24"/>
        </w:rPr>
      </w:r>
      <w:r w:rsidRPr="009D087E">
        <w:rPr>
          <w:rFonts w:cs="Tahoma"/>
          <w:noProof/>
          <w:szCs w:val="24"/>
        </w:rPr>
        <w:fldChar w:fldCharType="separate"/>
      </w:r>
      <w:r w:rsidRPr="009D087E">
        <w:rPr>
          <w:rFonts w:cs="Tahoma"/>
          <w:noProof/>
          <w:szCs w:val="24"/>
        </w:rPr>
        <w:t>70</w:t>
      </w:r>
      <w:r w:rsidRPr="009D087E">
        <w:rPr>
          <w:rFonts w:cs="Tahoma"/>
          <w:noProof/>
          <w:szCs w:val="24"/>
        </w:rPr>
        <w:fldChar w:fldCharType="end"/>
      </w:r>
    </w:p>
    <w:p w14:paraId="352A58A7" w14:textId="78E1D17A"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L.</w:t>
      </w:r>
      <w:r w:rsidRPr="009D087E">
        <w:rPr>
          <w:rFonts w:eastAsiaTheme="minorEastAsia" w:cs="Tahoma"/>
          <w:iCs w:val="0"/>
          <w:noProof/>
          <w:kern w:val="2"/>
          <w:szCs w:val="24"/>
          <w14:ligatures w14:val="standardContextual"/>
        </w:rPr>
        <w:tab/>
      </w:r>
      <w:r w:rsidRPr="009D087E">
        <w:rPr>
          <w:rFonts w:cs="Tahoma"/>
          <w:noProof/>
          <w:szCs w:val="24"/>
        </w:rPr>
        <w:t>Executive Order N-6-22 – Russia Sanctions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_Toc243558583 \h </w:instrText>
      </w:r>
      <w:r w:rsidRPr="009D087E">
        <w:rPr>
          <w:rFonts w:cs="Tahoma"/>
          <w:noProof/>
          <w:szCs w:val="24"/>
        </w:rPr>
      </w:r>
      <w:r w:rsidRPr="009D087E">
        <w:rPr>
          <w:rFonts w:cs="Tahoma"/>
          <w:noProof/>
          <w:szCs w:val="24"/>
        </w:rPr>
        <w:fldChar w:fldCharType="separate"/>
      </w:r>
      <w:r w:rsidRPr="009D087E">
        <w:rPr>
          <w:rFonts w:cs="Tahoma"/>
          <w:noProof/>
          <w:szCs w:val="24"/>
        </w:rPr>
        <w:t>70</w:t>
      </w:r>
      <w:r w:rsidRPr="009D087E">
        <w:rPr>
          <w:rFonts w:cs="Tahoma"/>
          <w:noProof/>
          <w:szCs w:val="24"/>
        </w:rPr>
        <w:fldChar w:fldCharType="end"/>
      </w:r>
    </w:p>
    <w:p w14:paraId="3497CB65" w14:textId="3F7495C0" w:rsidR="009D087E" w:rsidRPr="009D087E" w:rsidRDefault="009D087E">
      <w:pPr>
        <w:pStyle w:val="TOC3"/>
        <w:rPr>
          <w:rFonts w:eastAsiaTheme="minorEastAsia" w:cs="Tahoma"/>
          <w:iCs w:val="0"/>
          <w:noProof/>
          <w:kern w:val="2"/>
          <w:szCs w:val="24"/>
          <w14:ligatures w14:val="standardContextual"/>
        </w:rPr>
      </w:pPr>
      <w:r w:rsidRPr="009D087E">
        <w:rPr>
          <w:rFonts w:cs="Tahoma"/>
          <w:noProof/>
          <w:szCs w:val="24"/>
        </w:rPr>
        <w:t>M.</w:t>
      </w:r>
      <w:r w:rsidRPr="009D087E">
        <w:rPr>
          <w:rFonts w:eastAsiaTheme="minorEastAsia" w:cs="Tahoma"/>
          <w:iCs w:val="0"/>
          <w:noProof/>
          <w:kern w:val="2"/>
          <w:szCs w:val="24"/>
          <w14:ligatures w14:val="standardContextual"/>
        </w:rPr>
        <w:tab/>
      </w:r>
      <w:r w:rsidRPr="009D087E">
        <w:rPr>
          <w:rFonts w:cs="Tahoma"/>
          <w:noProof/>
          <w:szCs w:val="24"/>
        </w:rPr>
        <w:t>Documents Relied Upon and Related Websites</w:t>
      </w:r>
      <w:r w:rsidRPr="009D087E">
        <w:rPr>
          <w:rFonts w:cs="Tahoma"/>
          <w:noProof/>
          <w:szCs w:val="24"/>
        </w:rPr>
        <w:tab/>
      </w:r>
      <w:r w:rsidRPr="009D087E">
        <w:rPr>
          <w:rFonts w:cs="Tahoma"/>
          <w:noProof/>
          <w:szCs w:val="24"/>
        </w:rPr>
        <w:fldChar w:fldCharType="begin"/>
      </w:r>
      <w:r w:rsidRPr="009D087E">
        <w:rPr>
          <w:rFonts w:cs="Tahoma"/>
          <w:noProof/>
          <w:szCs w:val="24"/>
        </w:rPr>
        <w:instrText xml:space="preserve"> PAGEREF _Toc243558584 \h </w:instrText>
      </w:r>
      <w:r w:rsidRPr="009D087E">
        <w:rPr>
          <w:rFonts w:cs="Tahoma"/>
          <w:noProof/>
          <w:szCs w:val="24"/>
        </w:rPr>
      </w:r>
      <w:r w:rsidRPr="009D087E">
        <w:rPr>
          <w:rFonts w:cs="Tahoma"/>
          <w:noProof/>
          <w:szCs w:val="24"/>
        </w:rPr>
        <w:fldChar w:fldCharType="separate"/>
      </w:r>
      <w:r w:rsidRPr="009D087E">
        <w:rPr>
          <w:rFonts w:cs="Tahoma"/>
          <w:noProof/>
          <w:szCs w:val="24"/>
        </w:rPr>
        <w:t>71</w:t>
      </w:r>
      <w:r w:rsidRPr="009D087E">
        <w:rPr>
          <w:rFonts w:cs="Tahoma"/>
          <w:noProof/>
          <w:szCs w:val="24"/>
        </w:rPr>
        <w:fldChar w:fldCharType="end"/>
      </w:r>
    </w:p>
    <w:p w14:paraId="4FDF3CF3" w14:textId="12F64C83" w:rsidR="00674AE1" w:rsidRPr="00D5358D" w:rsidRDefault="00674AE1" w:rsidP="00674AE1">
      <w:pPr>
        <w:rPr>
          <w:rFonts w:cs="Tahoma"/>
          <w:sz w:val="22"/>
          <w:szCs w:val="22"/>
        </w:rPr>
      </w:pPr>
      <w:r w:rsidRPr="00513398">
        <w:rPr>
          <w:rFonts w:cs="Tahoma"/>
          <w:b/>
          <w:bCs/>
          <w:caps/>
          <w:noProof/>
          <w:color w:val="2B579A"/>
          <w:szCs w:val="24"/>
          <w:shd w:val="clear" w:color="auto" w:fill="E6E6E6"/>
        </w:rPr>
        <w:fldChar w:fldCharType="end"/>
      </w:r>
    </w:p>
    <w:p w14:paraId="42321463" w14:textId="77777777" w:rsidR="00674AE1" w:rsidRPr="009E053E" w:rsidRDefault="00674AE1" w:rsidP="00674AE1">
      <w:pPr>
        <w:pStyle w:val="Title"/>
        <w:rPr>
          <w:rFonts w:cs="Tahoma"/>
          <w:szCs w:val="24"/>
        </w:rPr>
      </w:pPr>
      <w:r w:rsidRPr="009E053E">
        <w:rPr>
          <w:rFonts w:cs="Tahoma"/>
          <w:szCs w:val="24"/>
        </w:rPr>
        <w:t>List of Tables</w:t>
      </w:r>
    </w:p>
    <w:p w14:paraId="2CB8E427" w14:textId="7BCE1556" w:rsidR="009D087E" w:rsidRDefault="00674AE1">
      <w:pPr>
        <w:pStyle w:val="TableofFigures"/>
        <w:tabs>
          <w:tab w:val="right" w:leader="dot" w:pos="9350"/>
        </w:tabs>
        <w:rPr>
          <w:rFonts w:asciiTheme="minorHAnsi" w:eastAsiaTheme="minorEastAsia" w:hAnsiTheme="minorHAnsi" w:cstheme="minorBidi"/>
          <w:noProof/>
          <w:kern w:val="2"/>
          <w:szCs w:val="24"/>
          <w14:ligatures w14:val="standardContextual"/>
        </w:rPr>
      </w:pPr>
      <w:r w:rsidRPr="009E053E">
        <w:rPr>
          <w:rFonts w:cs="Tahoma"/>
          <w:szCs w:val="24"/>
        </w:rPr>
        <w:fldChar w:fldCharType="begin"/>
      </w:r>
      <w:r w:rsidRPr="009E053E">
        <w:rPr>
          <w:rFonts w:cs="Tahoma"/>
          <w:szCs w:val="24"/>
        </w:rPr>
        <w:instrText xml:space="preserve"> TOC \h \z \t "Table Title" \c </w:instrText>
      </w:r>
      <w:r w:rsidRPr="009E053E">
        <w:rPr>
          <w:rFonts w:cs="Tahoma"/>
          <w:szCs w:val="24"/>
        </w:rPr>
        <w:fldChar w:fldCharType="separate"/>
      </w:r>
      <w:hyperlink w:anchor="_Toc243558585" w:history="1">
        <w:r w:rsidR="009D087E" w:rsidRPr="00325CBD">
          <w:rPr>
            <w:rStyle w:val="Hyperlink"/>
            <w:rFonts w:eastAsiaTheme="majorEastAsia"/>
            <w:noProof/>
          </w:rPr>
          <w:t>Table 1: Definition of Keywords</w:t>
        </w:r>
        <w:r w:rsidR="009D087E">
          <w:rPr>
            <w:noProof/>
            <w:webHidden/>
          </w:rPr>
          <w:tab/>
        </w:r>
        <w:r w:rsidR="009D087E">
          <w:rPr>
            <w:noProof/>
            <w:webHidden/>
          </w:rPr>
          <w:fldChar w:fldCharType="begin"/>
        </w:r>
        <w:r w:rsidR="009D087E">
          <w:rPr>
            <w:noProof/>
            <w:webHidden/>
          </w:rPr>
          <w:instrText xml:space="preserve"> PAGEREF _Toc243558585 \h </w:instrText>
        </w:r>
        <w:r w:rsidR="009D087E">
          <w:rPr>
            <w:noProof/>
            <w:webHidden/>
          </w:rPr>
        </w:r>
        <w:r w:rsidR="009D087E">
          <w:rPr>
            <w:noProof/>
            <w:webHidden/>
          </w:rPr>
          <w:fldChar w:fldCharType="separate"/>
        </w:r>
        <w:r w:rsidR="009D087E">
          <w:rPr>
            <w:noProof/>
            <w:webHidden/>
          </w:rPr>
          <w:t>3</w:t>
        </w:r>
        <w:r w:rsidR="009D087E">
          <w:rPr>
            <w:noProof/>
            <w:webHidden/>
          </w:rPr>
          <w:fldChar w:fldCharType="end"/>
        </w:r>
      </w:hyperlink>
    </w:p>
    <w:p w14:paraId="4C1576CC" w14:textId="124EE5C7"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86" w:history="1">
        <w:r w:rsidRPr="00325CBD">
          <w:rPr>
            <w:rStyle w:val="Hyperlink"/>
            <w:rFonts w:eastAsiaTheme="majorEastAsia"/>
            <w:noProof/>
          </w:rPr>
          <w:t>Table 2: Key Activities and Dates</w:t>
        </w:r>
        <w:r>
          <w:rPr>
            <w:noProof/>
            <w:webHidden/>
          </w:rPr>
          <w:tab/>
        </w:r>
        <w:r>
          <w:rPr>
            <w:noProof/>
            <w:webHidden/>
          </w:rPr>
          <w:fldChar w:fldCharType="begin"/>
        </w:r>
        <w:r>
          <w:rPr>
            <w:noProof/>
            <w:webHidden/>
          </w:rPr>
          <w:instrText xml:space="preserve"> PAGEREF _Toc243558586 \h </w:instrText>
        </w:r>
        <w:r>
          <w:rPr>
            <w:noProof/>
            <w:webHidden/>
          </w:rPr>
        </w:r>
        <w:r>
          <w:rPr>
            <w:noProof/>
            <w:webHidden/>
          </w:rPr>
          <w:fldChar w:fldCharType="separate"/>
        </w:r>
        <w:r>
          <w:rPr>
            <w:noProof/>
            <w:webHidden/>
          </w:rPr>
          <w:t>8</w:t>
        </w:r>
        <w:r>
          <w:rPr>
            <w:noProof/>
            <w:webHidden/>
          </w:rPr>
          <w:fldChar w:fldCharType="end"/>
        </w:r>
      </w:hyperlink>
    </w:p>
    <w:p w14:paraId="6E7B46A6" w14:textId="1CCD9153"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87" w:history="1">
        <w:r w:rsidRPr="00325CBD">
          <w:rPr>
            <w:rStyle w:val="Hyperlink"/>
            <w:rFonts w:eastAsiaTheme="majorEastAsia"/>
            <w:noProof/>
          </w:rPr>
          <w:t>Table 3: Solicitation Funding Parameters</w:t>
        </w:r>
        <w:r>
          <w:rPr>
            <w:noProof/>
            <w:webHidden/>
          </w:rPr>
          <w:tab/>
        </w:r>
        <w:r>
          <w:rPr>
            <w:noProof/>
            <w:webHidden/>
          </w:rPr>
          <w:fldChar w:fldCharType="begin"/>
        </w:r>
        <w:r>
          <w:rPr>
            <w:noProof/>
            <w:webHidden/>
          </w:rPr>
          <w:instrText xml:space="preserve"> PAGEREF _Toc243558587 \h </w:instrText>
        </w:r>
        <w:r>
          <w:rPr>
            <w:noProof/>
            <w:webHidden/>
          </w:rPr>
        </w:r>
        <w:r>
          <w:rPr>
            <w:noProof/>
            <w:webHidden/>
          </w:rPr>
          <w:fldChar w:fldCharType="separate"/>
        </w:r>
        <w:r>
          <w:rPr>
            <w:noProof/>
            <w:webHidden/>
          </w:rPr>
          <w:t>9</w:t>
        </w:r>
        <w:r>
          <w:rPr>
            <w:noProof/>
            <w:webHidden/>
          </w:rPr>
          <w:fldChar w:fldCharType="end"/>
        </w:r>
      </w:hyperlink>
    </w:p>
    <w:p w14:paraId="0A5246A5" w14:textId="48A33009"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88" w:history="1">
        <w:r w:rsidRPr="00325CBD">
          <w:rPr>
            <w:rStyle w:val="Hyperlink"/>
            <w:rFonts w:eastAsiaTheme="majorEastAsia"/>
            <w:noProof/>
          </w:rPr>
          <w:t>Table 4. Available Performance Pathways vs. Project Type</w:t>
        </w:r>
        <w:r>
          <w:rPr>
            <w:noProof/>
            <w:webHidden/>
          </w:rPr>
          <w:tab/>
        </w:r>
        <w:r>
          <w:rPr>
            <w:noProof/>
            <w:webHidden/>
          </w:rPr>
          <w:fldChar w:fldCharType="begin"/>
        </w:r>
        <w:r>
          <w:rPr>
            <w:noProof/>
            <w:webHidden/>
          </w:rPr>
          <w:instrText xml:space="preserve"> PAGEREF _Toc243558588 \h </w:instrText>
        </w:r>
        <w:r>
          <w:rPr>
            <w:noProof/>
            <w:webHidden/>
          </w:rPr>
        </w:r>
        <w:r>
          <w:rPr>
            <w:noProof/>
            <w:webHidden/>
          </w:rPr>
          <w:fldChar w:fldCharType="separate"/>
        </w:r>
        <w:r>
          <w:rPr>
            <w:noProof/>
            <w:webHidden/>
          </w:rPr>
          <w:t>25</w:t>
        </w:r>
        <w:r>
          <w:rPr>
            <w:noProof/>
            <w:webHidden/>
          </w:rPr>
          <w:fldChar w:fldCharType="end"/>
        </w:r>
      </w:hyperlink>
    </w:p>
    <w:p w14:paraId="116CD0A1" w14:textId="4E15E37B"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89" w:history="1">
        <w:r w:rsidRPr="00325CBD">
          <w:rPr>
            <w:rStyle w:val="Hyperlink"/>
            <w:rFonts w:eastAsiaTheme="majorEastAsia"/>
            <w:noProof/>
          </w:rPr>
          <w:t>Table 5: Application Documents Submittal Order</w:t>
        </w:r>
        <w:r>
          <w:rPr>
            <w:noProof/>
            <w:webHidden/>
          </w:rPr>
          <w:tab/>
        </w:r>
        <w:r>
          <w:rPr>
            <w:noProof/>
            <w:webHidden/>
          </w:rPr>
          <w:fldChar w:fldCharType="begin"/>
        </w:r>
        <w:r>
          <w:rPr>
            <w:noProof/>
            <w:webHidden/>
          </w:rPr>
          <w:instrText xml:space="preserve"> PAGEREF _Toc243558589 \h </w:instrText>
        </w:r>
        <w:r>
          <w:rPr>
            <w:noProof/>
            <w:webHidden/>
          </w:rPr>
        </w:r>
        <w:r>
          <w:rPr>
            <w:noProof/>
            <w:webHidden/>
          </w:rPr>
          <w:fldChar w:fldCharType="separate"/>
        </w:r>
        <w:r>
          <w:rPr>
            <w:noProof/>
            <w:webHidden/>
          </w:rPr>
          <w:t>42</w:t>
        </w:r>
        <w:r>
          <w:rPr>
            <w:noProof/>
            <w:webHidden/>
          </w:rPr>
          <w:fldChar w:fldCharType="end"/>
        </w:r>
      </w:hyperlink>
    </w:p>
    <w:p w14:paraId="168C7C2B" w14:textId="6BDA8628"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90" w:history="1">
        <w:r w:rsidRPr="00325CBD">
          <w:rPr>
            <w:rStyle w:val="Hyperlink"/>
            <w:rFonts w:eastAsiaTheme="majorEastAsia"/>
            <w:noProof/>
          </w:rPr>
          <w:t>Table 6: Administrative Screening Criteria</w:t>
        </w:r>
        <w:r>
          <w:rPr>
            <w:noProof/>
            <w:webHidden/>
          </w:rPr>
          <w:tab/>
        </w:r>
        <w:r>
          <w:rPr>
            <w:noProof/>
            <w:webHidden/>
          </w:rPr>
          <w:fldChar w:fldCharType="begin"/>
        </w:r>
        <w:r>
          <w:rPr>
            <w:noProof/>
            <w:webHidden/>
          </w:rPr>
          <w:instrText xml:space="preserve"> PAGEREF _Toc243558590 \h </w:instrText>
        </w:r>
        <w:r>
          <w:rPr>
            <w:noProof/>
            <w:webHidden/>
          </w:rPr>
        </w:r>
        <w:r>
          <w:rPr>
            <w:noProof/>
            <w:webHidden/>
          </w:rPr>
          <w:fldChar w:fldCharType="separate"/>
        </w:r>
        <w:r>
          <w:rPr>
            <w:noProof/>
            <w:webHidden/>
          </w:rPr>
          <w:t>54</w:t>
        </w:r>
        <w:r>
          <w:rPr>
            <w:noProof/>
            <w:webHidden/>
          </w:rPr>
          <w:fldChar w:fldCharType="end"/>
        </w:r>
      </w:hyperlink>
    </w:p>
    <w:p w14:paraId="268442A2" w14:textId="7EA3AE79"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91" w:history="1">
        <w:r w:rsidRPr="00325CBD">
          <w:rPr>
            <w:rStyle w:val="Hyperlink"/>
            <w:rFonts w:eastAsiaTheme="majorEastAsia"/>
            <w:noProof/>
          </w:rPr>
          <w:t>Table 7: Technical Screening Criteria</w:t>
        </w:r>
        <w:r>
          <w:rPr>
            <w:noProof/>
            <w:webHidden/>
          </w:rPr>
          <w:tab/>
        </w:r>
        <w:r>
          <w:rPr>
            <w:noProof/>
            <w:webHidden/>
          </w:rPr>
          <w:fldChar w:fldCharType="begin"/>
        </w:r>
        <w:r>
          <w:rPr>
            <w:noProof/>
            <w:webHidden/>
          </w:rPr>
          <w:instrText xml:space="preserve"> PAGEREF _Toc243558591 \h </w:instrText>
        </w:r>
        <w:r>
          <w:rPr>
            <w:noProof/>
            <w:webHidden/>
          </w:rPr>
        </w:r>
        <w:r>
          <w:rPr>
            <w:noProof/>
            <w:webHidden/>
          </w:rPr>
          <w:fldChar w:fldCharType="separate"/>
        </w:r>
        <w:r>
          <w:rPr>
            <w:noProof/>
            <w:webHidden/>
          </w:rPr>
          <w:t>54</w:t>
        </w:r>
        <w:r>
          <w:rPr>
            <w:noProof/>
            <w:webHidden/>
          </w:rPr>
          <w:fldChar w:fldCharType="end"/>
        </w:r>
      </w:hyperlink>
    </w:p>
    <w:p w14:paraId="3AFCFF7E" w14:textId="24480388"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92" w:history="1">
        <w:r w:rsidRPr="00325CBD">
          <w:rPr>
            <w:rStyle w:val="Hyperlink"/>
            <w:rFonts w:eastAsiaTheme="majorEastAsia"/>
            <w:noProof/>
          </w:rPr>
          <w:t>Table 8: Past Performance Screening Criteria</w:t>
        </w:r>
        <w:r>
          <w:rPr>
            <w:noProof/>
            <w:webHidden/>
          </w:rPr>
          <w:tab/>
        </w:r>
        <w:r>
          <w:rPr>
            <w:noProof/>
            <w:webHidden/>
          </w:rPr>
          <w:fldChar w:fldCharType="begin"/>
        </w:r>
        <w:r>
          <w:rPr>
            <w:noProof/>
            <w:webHidden/>
          </w:rPr>
          <w:instrText xml:space="preserve"> PAGEREF _Toc243558592 \h </w:instrText>
        </w:r>
        <w:r>
          <w:rPr>
            <w:noProof/>
            <w:webHidden/>
          </w:rPr>
        </w:r>
        <w:r>
          <w:rPr>
            <w:noProof/>
            <w:webHidden/>
          </w:rPr>
          <w:fldChar w:fldCharType="separate"/>
        </w:r>
        <w:r>
          <w:rPr>
            <w:noProof/>
            <w:webHidden/>
          </w:rPr>
          <w:t>55</w:t>
        </w:r>
        <w:r>
          <w:rPr>
            <w:noProof/>
            <w:webHidden/>
          </w:rPr>
          <w:fldChar w:fldCharType="end"/>
        </w:r>
      </w:hyperlink>
    </w:p>
    <w:p w14:paraId="16E258EC" w14:textId="77E9466B"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93" w:history="1">
        <w:r w:rsidRPr="00325CBD">
          <w:rPr>
            <w:rStyle w:val="Hyperlink"/>
            <w:rFonts w:eastAsiaTheme="majorEastAsia"/>
            <w:noProof/>
          </w:rPr>
          <w:t>Table 9: Scoring Scale</w:t>
        </w:r>
        <w:r>
          <w:rPr>
            <w:noProof/>
            <w:webHidden/>
          </w:rPr>
          <w:tab/>
        </w:r>
        <w:r>
          <w:rPr>
            <w:noProof/>
            <w:webHidden/>
          </w:rPr>
          <w:fldChar w:fldCharType="begin"/>
        </w:r>
        <w:r>
          <w:rPr>
            <w:noProof/>
            <w:webHidden/>
          </w:rPr>
          <w:instrText xml:space="preserve"> PAGEREF _Toc243558593 \h </w:instrText>
        </w:r>
        <w:r>
          <w:rPr>
            <w:noProof/>
            <w:webHidden/>
          </w:rPr>
        </w:r>
        <w:r>
          <w:rPr>
            <w:noProof/>
            <w:webHidden/>
          </w:rPr>
          <w:fldChar w:fldCharType="separate"/>
        </w:r>
        <w:r>
          <w:rPr>
            <w:noProof/>
            <w:webHidden/>
          </w:rPr>
          <w:t>56</w:t>
        </w:r>
        <w:r>
          <w:rPr>
            <w:noProof/>
            <w:webHidden/>
          </w:rPr>
          <w:fldChar w:fldCharType="end"/>
        </w:r>
      </w:hyperlink>
    </w:p>
    <w:p w14:paraId="047A088A" w14:textId="01989AD6" w:rsidR="009D087E" w:rsidRDefault="009D087E">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43558594" w:history="1">
        <w:r w:rsidRPr="00325CBD">
          <w:rPr>
            <w:rStyle w:val="Hyperlink"/>
            <w:rFonts w:eastAsiaTheme="majorEastAsia"/>
            <w:noProof/>
          </w:rPr>
          <w:t>Table 10: Scoring Criteria</w:t>
        </w:r>
        <w:r>
          <w:rPr>
            <w:noProof/>
            <w:webHidden/>
          </w:rPr>
          <w:tab/>
        </w:r>
        <w:r>
          <w:rPr>
            <w:noProof/>
            <w:webHidden/>
          </w:rPr>
          <w:fldChar w:fldCharType="begin"/>
        </w:r>
        <w:r>
          <w:rPr>
            <w:noProof/>
            <w:webHidden/>
          </w:rPr>
          <w:instrText xml:space="preserve"> PAGEREF _Toc243558594 \h </w:instrText>
        </w:r>
        <w:r>
          <w:rPr>
            <w:noProof/>
            <w:webHidden/>
          </w:rPr>
        </w:r>
        <w:r>
          <w:rPr>
            <w:noProof/>
            <w:webHidden/>
          </w:rPr>
          <w:fldChar w:fldCharType="separate"/>
        </w:r>
        <w:r>
          <w:rPr>
            <w:noProof/>
            <w:webHidden/>
          </w:rPr>
          <w:t>58</w:t>
        </w:r>
        <w:r>
          <w:rPr>
            <w:noProof/>
            <w:webHidden/>
          </w:rPr>
          <w:fldChar w:fldCharType="end"/>
        </w:r>
      </w:hyperlink>
    </w:p>
    <w:p w14:paraId="4EC6E9EA" w14:textId="58A64F74" w:rsidR="00674AE1" w:rsidRDefault="00674AE1" w:rsidP="00674AE1">
      <w:r w:rsidRPr="009E053E">
        <w:rPr>
          <w:rFonts w:cs="Tahoma"/>
          <w:szCs w:val="24"/>
        </w:rPr>
        <w:fldChar w:fldCharType="end"/>
      </w:r>
    </w:p>
    <w:p w14:paraId="4008A128" w14:textId="77777777" w:rsidR="00674AE1" w:rsidRDefault="00674AE1" w:rsidP="00674AE1">
      <w:pPr>
        <w:spacing w:after="0"/>
      </w:pPr>
      <w:r>
        <w:br w:type="page"/>
      </w:r>
    </w:p>
    <w:p w14:paraId="00314000" w14:textId="77777777" w:rsidR="00674AE1" w:rsidRPr="00C31C1D" w:rsidRDefault="00674AE1" w:rsidP="00674AE1">
      <w:pPr>
        <w:sectPr w:rsidR="00674AE1" w:rsidRPr="00C31C1D" w:rsidSect="00674AE1">
          <w:headerReference w:type="default" r:id="rId18"/>
          <w:footerReference w:type="default" r:id="rId19"/>
          <w:pgSz w:w="12240" w:h="15840" w:code="1"/>
          <w:pgMar w:top="1440" w:right="1440" w:bottom="1440" w:left="1440" w:header="1008" w:footer="670" w:gutter="0"/>
          <w:pgNumType w:fmt="lowerRoman" w:start="1"/>
          <w:cols w:space="720"/>
          <w:docGrid w:linePitch="326"/>
        </w:sectPr>
      </w:pPr>
    </w:p>
    <w:p w14:paraId="7C70F1AD" w14:textId="77777777" w:rsidR="00674AE1" w:rsidRPr="004A2980" w:rsidRDefault="00674AE1" w:rsidP="00F93985">
      <w:pPr>
        <w:pStyle w:val="Heading2"/>
      </w:pPr>
      <w:bookmarkStart w:id="53" w:name="_Toc196394209"/>
      <w:bookmarkStart w:id="54" w:name="_Toc197693768"/>
      <w:bookmarkStart w:id="55" w:name="_Toc204344506"/>
      <w:bookmarkStart w:id="56" w:name="_Toc211851619"/>
      <w:bookmarkStart w:id="57" w:name="_Toc217038030"/>
      <w:bookmarkStart w:id="58" w:name="_Toc225165521"/>
      <w:bookmarkStart w:id="59" w:name="_Toc226109525"/>
      <w:bookmarkStart w:id="60" w:name="_Toc228355409"/>
      <w:bookmarkStart w:id="61" w:name="_Toc228953740"/>
      <w:bookmarkStart w:id="62" w:name="_Toc229983567"/>
      <w:bookmarkStart w:id="63" w:name="_Toc230935787"/>
      <w:bookmarkStart w:id="64" w:name="_Toc231808291"/>
      <w:bookmarkStart w:id="65" w:name="_Toc241500402"/>
      <w:bookmarkStart w:id="66" w:name="_Toc241500732"/>
      <w:bookmarkStart w:id="67" w:name="_Toc242169383"/>
      <w:bookmarkStart w:id="68" w:name="_Toc242423549"/>
      <w:bookmarkStart w:id="69" w:name="_Toc242770569"/>
      <w:bookmarkStart w:id="70" w:name="_Toc242944259"/>
      <w:bookmarkStart w:id="71" w:name="_Toc242948684"/>
      <w:bookmarkStart w:id="72" w:name="_Toc243044160"/>
      <w:bookmarkStart w:id="73" w:name="_Toc243044694"/>
      <w:bookmarkStart w:id="74" w:name="_Toc458602318"/>
      <w:bookmarkStart w:id="75" w:name="_Toc219275079"/>
      <w:bookmarkStart w:id="76" w:name="_Toc336443614"/>
      <w:bookmarkStart w:id="77" w:name="_Toc366671167"/>
      <w:bookmarkStart w:id="78" w:name="_Toc243548704"/>
      <w:bookmarkStart w:id="79" w:name="_Toc243556813"/>
      <w:bookmarkStart w:id="80" w:name="_Toc243558496"/>
      <w:r>
        <w:lastRenderedPageBreak/>
        <w:t>Attachments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8"/>
      <w:bookmarkEnd w:id="79"/>
      <w:bookmarkEnd w:id="80"/>
    </w:p>
    <w:tbl>
      <w:tblPr>
        <w:tblStyle w:val="ListTable3"/>
        <w:tblW w:w="9358" w:type="dxa"/>
        <w:jc w:val="center"/>
        <w:tblLayout w:type="fixed"/>
        <w:tblCellMar>
          <w:left w:w="0" w:type="dxa"/>
          <w:right w:w="0" w:type="dxa"/>
        </w:tblCellMar>
        <w:tblLook w:val="00A0" w:firstRow="1" w:lastRow="0" w:firstColumn="1" w:lastColumn="0" w:noHBand="0" w:noVBand="0"/>
        <w:tblDescription w:val="List of 13 attachments for CA-TREC solicitation. "/>
      </w:tblPr>
      <w:tblGrid>
        <w:gridCol w:w="2220"/>
        <w:gridCol w:w="7138"/>
      </w:tblGrid>
      <w:tr w:rsidR="00674AE1" w:rsidRPr="000F7FD8" w14:paraId="1B27AF4A" w14:textId="77777777">
        <w:trPr>
          <w:cnfStyle w:val="100000000000" w:firstRow="1" w:lastRow="0" w:firstColumn="0" w:lastColumn="0" w:oddVBand="0" w:evenVBand="0" w:oddHBand="0" w:evenHBand="0" w:firstRowFirstColumn="0" w:firstRowLastColumn="0" w:lastRowFirstColumn="0" w:lastRowLastColumn="0"/>
          <w:trHeight w:val="681"/>
          <w:tblHeader/>
          <w:jc w:val="center"/>
        </w:trPr>
        <w:tc>
          <w:tcPr>
            <w:cnfStyle w:val="001000000100" w:firstRow="0" w:lastRow="0" w:firstColumn="1" w:lastColumn="0" w:oddVBand="0" w:evenVBand="0" w:oddHBand="0" w:evenHBand="0" w:firstRowFirstColumn="1" w:firstRowLastColumn="0" w:lastRowFirstColumn="0" w:lastRowLastColumn="0"/>
            <w:tcW w:w="2220" w:type="dxa"/>
          </w:tcPr>
          <w:p w14:paraId="13F4641A" w14:textId="77777777" w:rsidR="00674AE1" w:rsidRPr="000F7FD8" w:rsidRDefault="00674AE1">
            <w:pPr>
              <w:rPr>
                <w:sz w:val="24"/>
                <w:szCs w:val="24"/>
              </w:rPr>
            </w:pPr>
            <w:r w:rsidRPr="000F7FD8">
              <w:rPr>
                <w:sz w:val="24"/>
                <w:szCs w:val="24"/>
              </w:rPr>
              <w:t>Attachment Number</w:t>
            </w:r>
          </w:p>
        </w:tc>
        <w:tc>
          <w:tcPr>
            <w:tcW w:w="7138" w:type="dxa"/>
          </w:tcPr>
          <w:p w14:paraId="21B0EAAD" w14:textId="77777777" w:rsidR="00674AE1" w:rsidRPr="000F7FD8" w:rsidRDefault="00674AE1">
            <w:pPr>
              <w:cnfStyle w:val="100000000000" w:firstRow="1" w:lastRow="0" w:firstColumn="0" w:lastColumn="0" w:oddVBand="0" w:evenVBand="0" w:oddHBand="0" w:evenHBand="0" w:firstRowFirstColumn="0" w:firstRowLastColumn="0" w:lastRowFirstColumn="0" w:lastRowLastColumn="0"/>
              <w:rPr>
                <w:sz w:val="24"/>
                <w:szCs w:val="24"/>
              </w:rPr>
            </w:pPr>
            <w:r w:rsidRPr="000F7FD8">
              <w:rPr>
                <w:sz w:val="24"/>
                <w:szCs w:val="24"/>
              </w:rPr>
              <w:t>Title</w:t>
            </w:r>
          </w:p>
        </w:tc>
      </w:tr>
      <w:tr w:rsidR="00674AE1" w:rsidRPr="000F7FD8" w14:paraId="3DBF724D" w14:textId="77777777">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5C7C6573" w14:textId="77777777" w:rsidR="00674AE1" w:rsidRPr="000F7FD8" w:rsidRDefault="00674AE1">
            <w:pPr>
              <w:rPr>
                <w:sz w:val="24"/>
                <w:szCs w:val="24"/>
              </w:rPr>
            </w:pPr>
            <w:r w:rsidRPr="000F7FD8">
              <w:rPr>
                <w:sz w:val="24"/>
                <w:szCs w:val="24"/>
              </w:rPr>
              <w:t>01</w:t>
            </w:r>
          </w:p>
        </w:tc>
        <w:tc>
          <w:tcPr>
            <w:tcW w:w="7138" w:type="dxa"/>
          </w:tcPr>
          <w:p w14:paraId="2B4CD621"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 xml:space="preserve">Application Form </w:t>
            </w:r>
            <w:r w:rsidRPr="000F7FD8">
              <w:rPr>
                <w:b/>
                <w:i/>
                <w:sz w:val="24"/>
                <w:szCs w:val="24"/>
              </w:rPr>
              <w:t>(requires signature)</w:t>
            </w:r>
          </w:p>
        </w:tc>
      </w:tr>
      <w:tr w:rsidR="00674AE1" w:rsidRPr="000F7FD8" w14:paraId="2CBA2D26" w14:textId="77777777">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7490C44B" w14:textId="77777777" w:rsidR="00674AE1" w:rsidRPr="000F7FD8" w:rsidRDefault="00674AE1">
            <w:pPr>
              <w:rPr>
                <w:sz w:val="24"/>
                <w:szCs w:val="24"/>
              </w:rPr>
            </w:pPr>
            <w:r w:rsidRPr="000F7FD8">
              <w:rPr>
                <w:sz w:val="24"/>
                <w:szCs w:val="24"/>
              </w:rPr>
              <w:t>02</w:t>
            </w:r>
          </w:p>
        </w:tc>
        <w:tc>
          <w:tcPr>
            <w:tcW w:w="7138" w:type="dxa"/>
          </w:tcPr>
          <w:p w14:paraId="70C766A8"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Project Narrative Form</w:t>
            </w:r>
          </w:p>
        </w:tc>
      </w:tr>
      <w:tr w:rsidR="00674AE1" w:rsidRPr="000F7FD8" w14:paraId="58C6C7B1"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D62D6DA" w14:textId="77777777" w:rsidR="00674AE1" w:rsidRPr="000F7FD8" w:rsidRDefault="00674AE1">
            <w:pPr>
              <w:rPr>
                <w:sz w:val="24"/>
                <w:szCs w:val="24"/>
              </w:rPr>
            </w:pPr>
            <w:r w:rsidRPr="000F7FD8">
              <w:rPr>
                <w:sz w:val="24"/>
                <w:szCs w:val="24"/>
              </w:rPr>
              <w:t>03</w:t>
            </w:r>
          </w:p>
        </w:tc>
        <w:tc>
          <w:tcPr>
            <w:tcW w:w="7138" w:type="dxa"/>
          </w:tcPr>
          <w:p w14:paraId="53D97769"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Project Team Form</w:t>
            </w:r>
          </w:p>
        </w:tc>
      </w:tr>
      <w:tr w:rsidR="00674AE1" w:rsidRPr="000F7FD8" w14:paraId="5C115761"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5CE7B541" w14:textId="77777777" w:rsidR="00674AE1" w:rsidRPr="000F7FD8" w:rsidRDefault="00674AE1">
            <w:pPr>
              <w:rPr>
                <w:sz w:val="24"/>
                <w:szCs w:val="24"/>
              </w:rPr>
            </w:pPr>
            <w:r w:rsidRPr="000F7FD8">
              <w:rPr>
                <w:sz w:val="24"/>
                <w:szCs w:val="24"/>
              </w:rPr>
              <w:t>04</w:t>
            </w:r>
          </w:p>
        </w:tc>
        <w:tc>
          <w:tcPr>
            <w:tcW w:w="7138" w:type="dxa"/>
          </w:tcPr>
          <w:p w14:paraId="4021644B"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Scope of Work Template</w:t>
            </w:r>
          </w:p>
        </w:tc>
      </w:tr>
      <w:tr w:rsidR="00674AE1" w:rsidRPr="000F7FD8" w14:paraId="25E91DB4"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2051FEAE" w14:textId="77777777" w:rsidR="00674AE1" w:rsidRPr="000F7FD8" w:rsidRDefault="00674AE1">
            <w:pPr>
              <w:rPr>
                <w:sz w:val="24"/>
                <w:szCs w:val="24"/>
              </w:rPr>
            </w:pPr>
            <w:r w:rsidRPr="000F7FD8">
              <w:rPr>
                <w:sz w:val="24"/>
                <w:szCs w:val="24"/>
              </w:rPr>
              <w:t>05</w:t>
            </w:r>
          </w:p>
        </w:tc>
        <w:tc>
          <w:tcPr>
            <w:tcW w:w="7138" w:type="dxa"/>
          </w:tcPr>
          <w:p w14:paraId="04A415E8"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Project Schedule</w:t>
            </w:r>
          </w:p>
        </w:tc>
      </w:tr>
      <w:tr w:rsidR="00674AE1" w:rsidRPr="000F7FD8" w14:paraId="08A4F4DA"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B25539C" w14:textId="77777777" w:rsidR="00674AE1" w:rsidRPr="000F7FD8" w:rsidRDefault="00674AE1">
            <w:pPr>
              <w:rPr>
                <w:sz w:val="24"/>
                <w:szCs w:val="24"/>
              </w:rPr>
            </w:pPr>
            <w:r w:rsidRPr="000F7FD8">
              <w:rPr>
                <w:sz w:val="24"/>
                <w:szCs w:val="24"/>
              </w:rPr>
              <w:t>06</w:t>
            </w:r>
          </w:p>
        </w:tc>
        <w:tc>
          <w:tcPr>
            <w:tcW w:w="7138" w:type="dxa"/>
          </w:tcPr>
          <w:p w14:paraId="620583FA"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 xml:space="preserve">Budget </w:t>
            </w:r>
          </w:p>
        </w:tc>
      </w:tr>
      <w:tr w:rsidR="00674AE1" w:rsidRPr="000F7FD8" w14:paraId="7723ED96" w14:textId="77777777">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3B51F94E" w14:textId="77777777" w:rsidR="00674AE1" w:rsidRPr="000F7FD8" w:rsidRDefault="00674AE1">
            <w:pPr>
              <w:rPr>
                <w:sz w:val="24"/>
                <w:szCs w:val="24"/>
              </w:rPr>
            </w:pPr>
            <w:r w:rsidRPr="000F7FD8">
              <w:rPr>
                <w:sz w:val="24"/>
                <w:szCs w:val="24"/>
              </w:rPr>
              <w:t>07</w:t>
            </w:r>
          </w:p>
        </w:tc>
        <w:tc>
          <w:tcPr>
            <w:tcW w:w="7138" w:type="dxa"/>
          </w:tcPr>
          <w:p w14:paraId="52D60252"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 xml:space="preserve">CEQA Compliance Form </w:t>
            </w:r>
          </w:p>
        </w:tc>
      </w:tr>
      <w:tr w:rsidR="00674AE1" w:rsidRPr="000F7FD8" w14:paraId="253AF2CE"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85E7F9D" w14:textId="77777777" w:rsidR="00674AE1" w:rsidRPr="000F7FD8" w:rsidRDefault="00674AE1">
            <w:pPr>
              <w:rPr>
                <w:sz w:val="24"/>
                <w:szCs w:val="24"/>
              </w:rPr>
            </w:pPr>
            <w:r w:rsidRPr="000F7FD8">
              <w:rPr>
                <w:sz w:val="24"/>
                <w:szCs w:val="24"/>
              </w:rPr>
              <w:t>08</w:t>
            </w:r>
          </w:p>
        </w:tc>
        <w:tc>
          <w:tcPr>
            <w:tcW w:w="7138" w:type="dxa"/>
          </w:tcPr>
          <w:p w14:paraId="1C528813" w14:textId="17D8A371" w:rsidR="00674AE1" w:rsidRPr="000F7FD8" w:rsidRDefault="000843AD">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Current and </w:t>
            </w:r>
            <w:r w:rsidR="00674AE1" w:rsidRPr="000F7FD8">
              <w:rPr>
                <w:sz w:val="24"/>
                <w:szCs w:val="24"/>
              </w:rPr>
              <w:t>Past Projects Information</w:t>
            </w:r>
          </w:p>
        </w:tc>
      </w:tr>
      <w:tr w:rsidR="00674AE1" w:rsidRPr="000F7FD8" w14:paraId="51F0353C"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6181A1A0" w14:textId="77777777" w:rsidR="00674AE1" w:rsidRPr="000F7FD8" w:rsidRDefault="00674AE1">
            <w:pPr>
              <w:rPr>
                <w:sz w:val="24"/>
                <w:szCs w:val="24"/>
              </w:rPr>
            </w:pPr>
            <w:r w:rsidRPr="000F7FD8">
              <w:rPr>
                <w:sz w:val="24"/>
                <w:szCs w:val="24"/>
              </w:rPr>
              <w:t>09</w:t>
            </w:r>
          </w:p>
        </w:tc>
        <w:tc>
          <w:tcPr>
            <w:tcW w:w="7138" w:type="dxa"/>
          </w:tcPr>
          <w:p w14:paraId="45225A54"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 xml:space="preserve">Commitment and Support Letters Form </w:t>
            </w:r>
            <w:r w:rsidRPr="000F7FD8">
              <w:rPr>
                <w:b/>
                <w:i/>
                <w:sz w:val="24"/>
                <w:szCs w:val="24"/>
              </w:rPr>
              <w:t>(requires signature)</w:t>
            </w:r>
          </w:p>
        </w:tc>
      </w:tr>
      <w:tr w:rsidR="00674AE1" w:rsidRPr="000F7FD8" w14:paraId="5ED4F279" w14:textId="77777777">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07372E25" w14:textId="77777777" w:rsidR="00674AE1" w:rsidRPr="000F7FD8" w:rsidRDefault="00674AE1">
            <w:pPr>
              <w:rPr>
                <w:sz w:val="24"/>
                <w:szCs w:val="24"/>
              </w:rPr>
            </w:pPr>
            <w:r w:rsidRPr="000F7FD8">
              <w:rPr>
                <w:sz w:val="24"/>
                <w:szCs w:val="24"/>
              </w:rPr>
              <w:t>10</w:t>
            </w:r>
          </w:p>
        </w:tc>
        <w:tc>
          <w:tcPr>
            <w:tcW w:w="7138" w:type="dxa"/>
          </w:tcPr>
          <w:p w14:paraId="6AF1F1C5"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Measurement and Verification Plan</w:t>
            </w:r>
          </w:p>
        </w:tc>
      </w:tr>
      <w:tr w:rsidR="00674AE1" w:rsidRPr="000F7FD8" w14:paraId="4DE47A0E" w14:textId="77777777">
        <w:trPr>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2A66F8FB" w14:textId="77777777" w:rsidR="00674AE1" w:rsidRPr="000F7FD8" w:rsidRDefault="00674AE1">
            <w:pPr>
              <w:rPr>
                <w:sz w:val="24"/>
                <w:szCs w:val="24"/>
              </w:rPr>
            </w:pPr>
            <w:r w:rsidRPr="000F7FD8">
              <w:rPr>
                <w:sz w:val="24"/>
                <w:szCs w:val="24"/>
              </w:rPr>
              <w:t>11</w:t>
            </w:r>
          </w:p>
        </w:tc>
        <w:tc>
          <w:tcPr>
            <w:tcW w:w="7138" w:type="dxa"/>
          </w:tcPr>
          <w:p w14:paraId="4B6A73AC"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 xml:space="preserve">Applicant Declaration </w:t>
            </w:r>
            <w:r w:rsidRPr="000F7FD8">
              <w:rPr>
                <w:b/>
                <w:i/>
                <w:sz w:val="24"/>
                <w:szCs w:val="24"/>
              </w:rPr>
              <w:t>(requires signature)</w:t>
            </w:r>
          </w:p>
        </w:tc>
      </w:tr>
      <w:tr w:rsidR="00674AE1" w:rsidRPr="000F7FD8" w14:paraId="124B6AEA" w14:textId="77777777">
        <w:trPr>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512B4C7E" w14:textId="77777777" w:rsidR="00674AE1" w:rsidRPr="000F7FD8" w:rsidRDefault="00674AE1">
            <w:pPr>
              <w:rPr>
                <w:sz w:val="24"/>
                <w:szCs w:val="24"/>
              </w:rPr>
            </w:pPr>
            <w:r w:rsidRPr="000F7FD8">
              <w:rPr>
                <w:sz w:val="24"/>
                <w:szCs w:val="24"/>
              </w:rPr>
              <w:t>12</w:t>
            </w:r>
          </w:p>
        </w:tc>
        <w:tc>
          <w:tcPr>
            <w:tcW w:w="7138" w:type="dxa"/>
          </w:tcPr>
          <w:p w14:paraId="05225CB6" w14:textId="77777777" w:rsidR="00674AE1" w:rsidRPr="000F7FD8"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0F7FD8">
              <w:rPr>
                <w:sz w:val="24"/>
                <w:szCs w:val="24"/>
              </w:rPr>
              <w:t>Project Readiness Checklist</w:t>
            </w:r>
          </w:p>
        </w:tc>
      </w:tr>
      <w:tr w:rsidR="00225360" w:rsidRPr="000F7FD8" w14:paraId="747144F4" w14:textId="77777777">
        <w:trPr>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7EF71B51" w14:textId="59EBCD56" w:rsidR="00225360" w:rsidRPr="000F7FD8" w:rsidRDefault="00225360" w:rsidP="00225360">
            <w:pPr>
              <w:rPr>
                <w:szCs w:val="24"/>
              </w:rPr>
            </w:pPr>
            <w:r w:rsidRPr="00225360">
              <w:rPr>
                <w:sz w:val="24"/>
                <w:szCs w:val="24"/>
              </w:rPr>
              <w:t>13</w:t>
            </w:r>
          </w:p>
        </w:tc>
        <w:tc>
          <w:tcPr>
            <w:tcW w:w="7138" w:type="dxa"/>
          </w:tcPr>
          <w:p w14:paraId="68E0001D" w14:textId="07F90F34" w:rsidR="00225360" w:rsidRPr="000F7FD8" w:rsidRDefault="00225360" w:rsidP="00225360">
            <w:pPr>
              <w:cnfStyle w:val="000000000000" w:firstRow="0" w:lastRow="0" w:firstColumn="0" w:lastColumn="0" w:oddVBand="0" w:evenVBand="0" w:oddHBand="0" w:evenHBand="0" w:firstRowFirstColumn="0" w:firstRowLastColumn="0" w:lastRowFirstColumn="0" w:lastRowLastColumn="0"/>
              <w:rPr>
                <w:szCs w:val="24"/>
              </w:rPr>
            </w:pPr>
            <w:r w:rsidRPr="002932B3">
              <w:rPr>
                <w:sz w:val="24"/>
                <w:szCs w:val="24"/>
              </w:rPr>
              <w:t xml:space="preserve">Confidential </w:t>
            </w:r>
            <w:r w:rsidR="00EB1A5F">
              <w:rPr>
                <w:sz w:val="24"/>
                <w:szCs w:val="24"/>
              </w:rPr>
              <w:t>Recipient Information</w:t>
            </w:r>
            <w:r w:rsidRPr="002932B3">
              <w:rPr>
                <w:sz w:val="24"/>
                <w:szCs w:val="24"/>
              </w:rPr>
              <w:t xml:space="preserve"> and Pre-Existing Intellectual Property</w:t>
            </w:r>
          </w:p>
        </w:tc>
      </w:tr>
    </w:tbl>
    <w:p w14:paraId="7FA4CAA7" w14:textId="2581B718" w:rsidR="005E540F" w:rsidRPr="005E540F" w:rsidRDefault="005E540F" w:rsidP="00674AE1">
      <w:r w:rsidRPr="3458EF77">
        <w:rPr>
          <w:b/>
          <w:bCs/>
        </w:rPr>
        <w:t>1</w:t>
      </w:r>
      <w:r w:rsidR="00225360">
        <w:rPr>
          <w:b/>
          <w:bCs/>
        </w:rPr>
        <w:t>4</w:t>
      </w:r>
      <w:r>
        <w:tab/>
      </w:r>
      <w:r>
        <w:tab/>
      </w:r>
      <w:r>
        <w:tab/>
        <w:t xml:space="preserve">Terms and Conditions </w:t>
      </w:r>
      <w:r w:rsidRPr="3458EF77">
        <w:rPr>
          <w:b/>
          <w:bCs/>
          <w:i/>
          <w:iCs/>
        </w:rPr>
        <w:t>(for review only)</w:t>
      </w:r>
    </w:p>
    <w:p w14:paraId="20777AEC" w14:textId="1E26F937" w:rsidR="005E540F" w:rsidRPr="005E540F" w:rsidRDefault="005E540F" w:rsidP="3458EF77">
      <w:pPr>
        <w:rPr>
          <w:b/>
          <w:bCs/>
          <w:i/>
          <w:iCs/>
        </w:rPr>
      </w:pPr>
      <w:r w:rsidRPr="3458EF77">
        <w:rPr>
          <w:b/>
          <w:bCs/>
        </w:rPr>
        <w:t>1</w:t>
      </w:r>
      <w:r w:rsidR="00225360">
        <w:rPr>
          <w:b/>
          <w:bCs/>
        </w:rPr>
        <w:t>5</w:t>
      </w:r>
      <w:r>
        <w:tab/>
      </w:r>
      <w:r>
        <w:tab/>
      </w:r>
      <w:r>
        <w:tab/>
        <w:t xml:space="preserve">Special Terms and Conditions </w:t>
      </w:r>
      <w:r w:rsidRPr="3458EF77">
        <w:rPr>
          <w:b/>
          <w:bCs/>
          <w:i/>
          <w:iCs/>
        </w:rPr>
        <w:t>(for review only)</w:t>
      </w:r>
    </w:p>
    <w:p w14:paraId="15C19A34" w14:textId="623975FA" w:rsidR="0035501E" w:rsidRDefault="005E540F" w:rsidP="0035501E">
      <w:r>
        <w:tab/>
      </w:r>
      <w:r>
        <w:tab/>
      </w:r>
      <w:r>
        <w:tab/>
      </w:r>
      <w:r w:rsidR="002922CA">
        <w:tab/>
      </w:r>
      <w:r w:rsidR="000453B0">
        <w:t>a</w:t>
      </w:r>
      <w:r>
        <w:t xml:space="preserve">. </w:t>
      </w:r>
      <w:r w:rsidR="0035501E">
        <w:t>Insolvency, Bankruptcy or Receivership</w:t>
      </w:r>
    </w:p>
    <w:p w14:paraId="11CFF082" w14:textId="53837668" w:rsidR="005E540F" w:rsidRDefault="0035501E" w:rsidP="0035501E">
      <w:pPr>
        <w:ind w:left="2160" w:firstLine="720"/>
      </w:pPr>
      <w:r>
        <w:t xml:space="preserve">b. </w:t>
      </w:r>
      <w:r w:rsidR="005E540F">
        <w:t>DEBA Program</w:t>
      </w:r>
    </w:p>
    <w:p w14:paraId="59159260" w14:textId="77777777" w:rsidR="005E540F" w:rsidRDefault="005E540F" w:rsidP="00674AE1">
      <w:r>
        <w:tab/>
      </w:r>
      <w:r>
        <w:tab/>
      </w:r>
      <w:r>
        <w:tab/>
      </w:r>
      <w:r>
        <w:tab/>
        <w:t>c. Data Sharing Agreement</w:t>
      </w:r>
    </w:p>
    <w:p w14:paraId="5D201EF5" w14:textId="77777777" w:rsidR="00BA3A2D" w:rsidRDefault="005E540F" w:rsidP="005E540F">
      <w:pPr>
        <w:ind w:left="3150" w:hanging="270"/>
        <w:sectPr w:rsidR="00BA3A2D" w:rsidSect="00127DF7">
          <w:footerReference w:type="default" r:id="rId20"/>
          <w:pgSz w:w="12240" w:h="15840" w:code="1"/>
          <w:pgMar w:top="1440" w:right="1440" w:bottom="1440" w:left="1440" w:header="720" w:footer="576" w:gutter="0"/>
          <w:pgNumType w:fmt="lowerRoman"/>
          <w:cols w:space="720"/>
          <w:docGrid w:linePitch="326"/>
        </w:sectPr>
      </w:pPr>
      <w:r>
        <w:t>d. California Native American Tribes and Tribal Organizations with Sovereign Immunity</w:t>
      </w:r>
    </w:p>
    <w:p w14:paraId="7B5E22FD" w14:textId="77777777" w:rsidR="00674AE1" w:rsidRDefault="00674AE1" w:rsidP="00674AE1">
      <w:pPr>
        <w:pStyle w:val="Heading2"/>
      </w:pPr>
      <w:bookmarkStart w:id="81" w:name="_Toc243558497"/>
      <w:r>
        <w:lastRenderedPageBreak/>
        <w:t xml:space="preserve">I: </w:t>
      </w:r>
      <w:r w:rsidRPr="00756BAC">
        <w:t>Introduction</w:t>
      </w:r>
      <w:bookmarkStart w:id="82" w:name="_Toc458602319"/>
      <w:bookmarkEnd w:id="74"/>
      <w:bookmarkEnd w:id="81"/>
    </w:p>
    <w:p w14:paraId="65713114" w14:textId="77777777" w:rsidR="00674AE1" w:rsidRDefault="00674AE1" w:rsidP="00B6721C">
      <w:pPr>
        <w:pStyle w:val="Heading3"/>
        <w:ind w:left="0"/>
      </w:pPr>
      <w:bookmarkStart w:id="83" w:name="_Toc243558498"/>
      <w:bookmarkEnd w:id="82"/>
      <w:r>
        <w:t xml:space="preserve">Purpose of </w:t>
      </w:r>
      <w:r w:rsidRPr="003F243D">
        <w:t>Solicitation</w:t>
      </w:r>
      <w:bookmarkEnd w:id="83"/>
    </w:p>
    <w:p w14:paraId="13D5404A" w14:textId="16E0B63B" w:rsidR="00674AE1" w:rsidRDefault="00674AE1" w:rsidP="00674AE1">
      <w:r w:rsidRPr="001C3147">
        <w:t xml:space="preserve">The California Energy Commission (CEC) announces the availability of </w:t>
      </w:r>
      <w:r>
        <w:t>up to</w:t>
      </w:r>
      <w:r w:rsidRPr="001C3147">
        <w:t xml:space="preserve"> $</w:t>
      </w:r>
      <w:r w:rsidR="00A03486">
        <w:t>46</w:t>
      </w:r>
      <w:r>
        <w:t>,144,000</w:t>
      </w:r>
      <w:r w:rsidR="00C42619">
        <w:t>,</w:t>
      </w:r>
      <w:r>
        <w:t xml:space="preserve"> less any amounts </w:t>
      </w:r>
      <w:r w:rsidR="607CF965">
        <w:t>allocated for state cost sharing for water utility projects,</w:t>
      </w:r>
      <w:r>
        <w:t xml:space="preserve"> pursuant to Senate Bill 105 (Weiner, Ch</w:t>
      </w:r>
      <w:r w:rsidR="000514C6">
        <w:t>apter</w:t>
      </w:r>
      <w:r>
        <w:t xml:space="preserve"> 104, Statutes of 2025)</w:t>
      </w:r>
      <w:r w:rsidR="00DC236B">
        <w:t xml:space="preserve"> and Assembly Bill 113 (Gabriel, C</w:t>
      </w:r>
      <w:r w:rsidR="00867624">
        <w:t>h</w:t>
      </w:r>
      <w:r w:rsidR="000514C6">
        <w:t>apter</w:t>
      </w:r>
      <w:r w:rsidR="00867624">
        <w:t xml:space="preserve"> </w:t>
      </w:r>
      <w:r w:rsidR="59382E28">
        <w:t>248</w:t>
      </w:r>
      <w:r w:rsidR="00867624">
        <w:t>, Statutes of 2026)</w:t>
      </w:r>
      <w:r>
        <w:t>, for a competitive</w:t>
      </w:r>
      <w:r w:rsidRPr="001C3147">
        <w:t xml:space="preserve"> grant</w:t>
      </w:r>
      <w:r>
        <w:t xml:space="preserve"> </w:t>
      </w:r>
      <w:r w:rsidRPr="001C3147">
        <w:t>s</w:t>
      </w:r>
      <w:r>
        <w:t>olicitation</w:t>
      </w:r>
      <w:r w:rsidRPr="001C3147">
        <w:t xml:space="preserve"> through the </w:t>
      </w:r>
      <w:r>
        <w:t xml:space="preserve">Distributed Electricity Backup Assets (DEBA) </w:t>
      </w:r>
      <w:r w:rsidRPr="001C3147">
        <w:t>Program</w:t>
      </w:r>
      <w:r>
        <w:t xml:space="preserve">. The intent of this solicitation is to support the deployment of new distributed energy resources (DERs) that can increase supply or reduce (or shift) load to improve the reliability of the state’s electrical grid </w:t>
      </w:r>
      <w:r w:rsidR="002762EE">
        <w:t xml:space="preserve">and help avoid blackouts </w:t>
      </w:r>
      <w:r>
        <w:t>during extreme events.</w:t>
      </w:r>
    </w:p>
    <w:p w14:paraId="77100E8D" w14:textId="234FA4BC" w:rsidR="00674AE1" w:rsidRPr="007923B9" w:rsidRDefault="00674AE1" w:rsidP="00674AE1">
      <w:r>
        <w:t>Funded projects are expected to</w:t>
      </w:r>
      <w:bookmarkStart w:id="84" w:name="_Hlk166758047"/>
      <w:r>
        <w:t xml:space="preserve"> deploy new, commercially available, zero-emission DERs that provide capacity in the form of supply, load shifting, or load reduction that is incremental to the state’s Resource Adequacy (RA) supplies and existing Strategic Reliability Reserves. </w:t>
      </w:r>
      <w:bookmarkEnd w:id="84"/>
      <w:r w:rsidRPr="002026EF">
        <w:rPr>
          <w:b/>
        </w:rPr>
        <w:t xml:space="preserve">Successful projects </w:t>
      </w:r>
      <w:r w:rsidR="1899DE6D" w:rsidRPr="002026EF">
        <w:rPr>
          <w:b/>
        </w:rPr>
        <w:t>must</w:t>
      </w:r>
      <w:r w:rsidRPr="002026EF">
        <w:rPr>
          <w:b/>
        </w:rPr>
        <w:t xml:space="preserve"> execute agreements</w:t>
      </w:r>
      <w:r w:rsidR="3953D819" w:rsidRPr="002026EF">
        <w:rPr>
          <w:b/>
        </w:rPr>
        <w:t xml:space="preserve"> no later than June 30, 2028</w:t>
      </w:r>
      <w:r w:rsidR="528422A3" w:rsidRPr="002026EF">
        <w:rPr>
          <w:b/>
        </w:rPr>
        <w:t xml:space="preserve">, </w:t>
      </w:r>
      <w:r w:rsidRPr="002026EF">
        <w:rPr>
          <w:b/>
        </w:rPr>
        <w:t>begin deployment</w:t>
      </w:r>
      <w:r w:rsidR="31F326C8" w:rsidRPr="002026EF">
        <w:rPr>
          <w:b/>
        </w:rPr>
        <w:t xml:space="preserve"> quickly</w:t>
      </w:r>
      <w:r w:rsidRPr="002026EF">
        <w:rPr>
          <w:b/>
        </w:rPr>
        <w:t>,</w:t>
      </w:r>
      <w:r w:rsidR="62496455" w:rsidRPr="002026EF">
        <w:rPr>
          <w:b/>
        </w:rPr>
        <w:t xml:space="preserve"> and </w:t>
      </w:r>
      <w:r w:rsidRPr="00A70E7C">
        <w:rPr>
          <w:b/>
        </w:rPr>
        <w:t xml:space="preserve">come online </w:t>
      </w:r>
      <w:r w:rsidR="3B2A0603" w:rsidRPr="00A70E7C">
        <w:rPr>
          <w:b/>
        </w:rPr>
        <w:t>no later than March 3</w:t>
      </w:r>
      <w:r w:rsidR="63F65387" w:rsidRPr="10452C06">
        <w:rPr>
          <w:b/>
          <w:bCs/>
        </w:rPr>
        <w:t>1</w:t>
      </w:r>
      <w:r w:rsidR="3B2A0603" w:rsidRPr="00A70E7C">
        <w:rPr>
          <w:b/>
        </w:rPr>
        <w:t xml:space="preserve">, </w:t>
      </w:r>
      <w:r w:rsidR="3B2A0603" w:rsidRPr="547A7212">
        <w:rPr>
          <w:b/>
          <w:bCs/>
        </w:rPr>
        <w:t>203</w:t>
      </w:r>
      <w:r w:rsidR="4D55A719" w:rsidRPr="547A7212">
        <w:rPr>
          <w:b/>
          <w:bCs/>
        </w:rPr>
        <w:t>0</w:t>
      </w:r>
      <w:r w:rsidR="5951ED90" w:rsidRPr="547A7212">
        <w:rPr>
          <w:b/>
          <w:bCs/>
        </w:rPr>
        <w:t>.</w:t>
      </w:r>
      <w:r w:rsidR="72E21487">
        <w:t xml:space="preserve"> Project</w:t>
      </w:r>
      <w:r w:rsidR="499038E7">
        <w:t>s</w:t>
      </w:r>
      <w:r w:rsidR="72E21487">
        <w:t xml:space="preserve"> must also</w:t>
      </w:r>
      <w:r w:rsidR="00217609">
        <w:t xml:space="preserve"> </w:t>
      </w:r>
      <w:r>
        <w:t>be responsive to immediate grid reliability needs. Projects are required to demonstrate incremental capacity and the ability to support grid reliability by selecting a performance pathway most appropriate to the proposed technology type(s).</w:t>
      </w:r>
    </w:p>
    <w:p w14:paraId="3E0B35DA" w14:textId="77777777" w:rsidR="00674AE1" w:rsidRDefault="00674AE1" w:rsidP="00B6721C">
      <w:pPr>
        <w:pStyle w:val="Heading3"/>
        <w:ind w:left="0"/>
      </w:pPr>
      <w:bookmarkStart w:id="85" w:name="_Toc243558499"/>
      <w:r>
        <w:t>Background</w:t>
      </w:r>
      <w:bookmarkEnd w:id="85"/>
    </w:p>
    <w:p w14:paraId="4F1DC522" w14:textId="77777777" w:rsidR="00674AE1" w:rsidRPr="00520CAB" w:rsidRDefault="00674AE1" w:rsidP="00674AE1">
      <w:pPr>
        <w:rPr>
          <w:szCs w:val="22"/>
        </w:rPr>
      </w:pPr>
      <w:r w:rsidRPr="00520CAB">
        <w:rPr>
          <w:szCs w:val="22"/>
        </w:rPr>
        <w:t xml:space="preserve">Assembly Bill (AB) 205 (Ting, Chapter 61, Statutes of 2022) created the Strategic Reliability Reserve to support the state’s electric grid reliability during extreme events. </w:t>
      </w:r>
      <w:r>
        <w:rPr>
          <w:szCs w:val="22"/>
        </w:rPr>
        <w:t>Public Resources Code (PRC)</w:t>
      </w:r>
      <w:r w:rsidRPr="00520CAB">
        <w:rPr>
          <w:szCs w:val="22"/>
        </w:rPr>
        <w:t xml:space="preserve"> </w:t>
      </w:r>
      <w:r>
        <w:rPr>
          <w:szCs w:val="22"/>
        </w:rPr>
        <w:t>s</w:t>
      </w:r>
      <w:r w:rsidRPr="00520CAB">
        <w:rPr>
          <w:szCs w:val="22"/>
        </w:rPr>
        <w:t>ection 25790(c) states, “As California transitions to a clean energy future and contends with climate impacts and other challenges, sufficient capacity of new and existing generation assets will be required to maintain reliability during extreme events.”</w:t>
      </w:r>
    </w:p>
    <w:p w14:paraId="44209A7E" w14:textId="416F8A07" w:rsidR="00674AE1" w:rsidRDefault="00674AE1" w:rsidP="00674AE1">
      <w:r>
        <w:t>As part of the Strategic Reliability Reserve, the DEBA Program provides funding for constructing cleaner and more efficient distributed energy assets that serve as on-call emergency supply or load reduction for the state’s electrical grid during extreme events as defined in Public Resources Code section 25790.5(b), such as heat waves. The DEBA Program also supports efficiency upgrades and capacity additions to existing power generators in California to support the state’s electrical grid during extreme eve</w:t>
      </w:r>
      <w:r w:rsidRPr="004E571F">
        <w:t xml:space="preserve">nts. DEBA Program funding was authorized under </w:t>
      </w:r>
      <w:r>
        <w:t xml:space="preserve">AB </w:t>
      </w:r>
      <w:r w:rsidRPr="004E571F">
        <w:t>180 (Ting, Chapter 44, Statutes of 2022)</w:t>
      </w:r>
      <w:r>
        <w:t>, AB</w:t>
      </w:r>
      <w:r w:rsidRPr="004E571F">
        <w:t xml:space="preserve"> 102 (Ting, Chapter 38, Statutes of 2023), AB</w:t>
      </w:r>
      <w:r>
        <w:t xml:space="preserve"> 106 (Gabriel, Chapter 9, Statutes of 2024), and AB 107 (Gabriel, Chapter 22, Statutes of 2024</w:t>
      </w:r>
      <w:r w:rsidRPr="57F59A4F">
        <w:rPr>
          <w:rFonts w:eastAsia="Tahoma" w:cs="Tahoma"/>
        </w:rPr>
        <w:t>) with an overall budget of $</w:t>
      </w:r>
      <w:r>
        <w:t>152 milli</w:t>
      </w:r>
      <w:r w:rsidRPr="003D5C22">
        <w:t>on.</w:t>
      </w:r>
      <w:r>
        <w:t xml:space="preserve"> The first solicitation focused on bulk grid generators, and the CEC issued a Notice of Proposed Awards on April 22, 2024. Nine projects were recommended for funding, totaling up to $122.8 million for 297 megawatts (MW) of </w:t>
      </w:r>
      <w:r>
        <w:lastRenderedPageBreak/>
        <w:t xml:space="preserve">new incremental capacity. As of </w:t>
      </w:r>
      <w:r w:rsidR="00472DA7">
        <w:t xml:space="preserve">September </w:t>
      </w:r>
      <w:r>
        <w:t>2026, seven of the grant agreements have been approved, totaling 185</w:t>
      </w:r>
      <w:r w:rsidRPr="009A3F29">
        <w:t xml:space="preserve"> MW</w:t>
      </w:r>
      <w:r>
        <w:t xml:space="preserve"> of new incremental capacity under development.</w:t>
      </w:r>
    </w:p>
    <w:p w14:paraId="31D3B841" w14:textId="29241018" w:rsidR="00674AE1" w:rsidRDefault="00674AE1" w:rsidP="00674AE1">
      <w:r>
        <w:t>In November 2024, California voters approved Proposition 4, the Safe Drinking Water, Wildfire Prevention, Drought Preparedness, and Clean Air Bond of 2024 (the Climate Bond)</w:t>
      </w:r>
      <w:r w:rsidR="00ED3D51">
        <w:t>,</w:t>
      </w:r>
      <w:r>
        <w:t xml:space="preserve"> which authorized the issuance of bonds in the amount of $10 billion for projects to strengthen communities against climate change. S</w:t>
      </w:r>
      <w:r w:rsidR="5C3CC170">
        <w:t xml:space="preserve">enate </w:t>
      </w:r>
      <w:r>
        <w:t>B</w:t>
      </w:r>
      <w:r w:rsidR="5FE0AAD6">
        <w:t>ill</w:t>
      </w:r>
      <w:r>
        <w:t xml:space="preserve"> 105</w:t>
      </w:r>
      <w:r w:rsidR="00670732">
        <w:t>, as amended by</w:t>
      </w:r>
      <w:r w:rsidR="00902474">
        <w:t xml:space="preserve"> AB 113 (</w:t>
      </w:r>
      <w:r w:rsidR="005C4BDC">
        <w:t xml:space="preserve">Gabriel, Chapter </w:t>
      </w:r>
      <w:r w:rsidR="2B66AE75">
        <w:t>248</w:t>
      </w:r>
      <w:r w:rsidR="005C4BDC">
        <w:t>, Statutes of 2026)</w:t>
      </w:r>
      <w:r w:rsidR="009A7B60">
        <w:t>,</w:t>
      </w:r>
      <w:r>
        <w:t xml:space="preserve"> appropriated $</w:t>
      </w:r>
      <w:r w:rsidR="00A03486">
        <w:t>46</w:t>
      </w:r>
      <w:r>
        <w:t xml:space="preserve">,144,000 </w:t>
      </w:r>
      <w:r w:rsidR="00775B9F">
        <w:t xml:space="preserve">from Proposition 4 </w:t>
      </w:r>
      <w:r>
        <w:t xml:space="preserve">to the DEBA Program to fund new clean microgrids, or new non-residential or aggregated residential distributed clean energy and storage projects, and 2) directed that projects receiving federal funding that support critical infrastructure, such as water utilities, shall be prioritized and expedited for funding only if that federal funding is secure and in place. </w:t>
      </w:r>
    </w:p>
    <w:p w14:paraId="22505F58" w14:textId="584021EF" w:rsidR="00674AE1" w:rsidRDefault="00674AE1" w:rsidP="00674AE1">
      <w:r>
        <w:t xml:space="preserve">Additionally, SB 105 directed that 1) no less than $12.5 million of the funds appropriated for the DEBA Program “shall provide state cost sharing for water utility projects that have received awards from the United States Department of Energy Grid Resilience and Innovation Partnerships program only if that federal funding is secure and in place,” and 2) the CEC “may award these funds [the state cost sharing funds] expeditiously and non-competitively.” Pursuant to SB 105, the CEC is initiating a direct award process in parallel with the release of this competitive solicitation. To provide state cost share for potential qualifying federally awarded projects under the direct award process, </w:t>
      </w:r>
      <w:r w:rsidRPr="0066777D">
        <w:t>CEC plans to set aside $12.5</w:t>
      </w:r>
      <w:r w:rsidR="000666A2" w:rsidRPr="0066777D">
        <w:t xml:space="preserve"> million</w:t>
      </w:r>
      <w:r w:rsidRPr="0066777D">
        <w:t xml:space="preserve"> to $</w:t>
      </w:r>
      <w:r w:rsidR="000666A2" w:rsidRPr="0066777D">
        <w:t>23 million</w:t>
      </w:r>
      <w:r w:rsidR="000666A2">
        <w:t xml:space="preserve"> </w:t>
      </w:r>
      <w:r>
        <w:t>of the funds allocated by Prop 4 to DEBA to prioritize qualifying direct awards. Depending on the number of qualified applicants and projects selected via the direct award process, any remaining funding appropriated by SB 105 from Prop 4 to the DEBA Program will be made available to this competitive solicitation.</w:t>
      </w:r>
    </w:p>
    <w:p w14:paraId="4C956385" w14:textId="2A013BD2" w:rsidR="17F0E925" w:rsidRDefault="193C721B">
      <w:r>
        <w:t>Please</w:t>
      </w:r>
      <w:r w:rsidR="17F0E925">
        <w:t xml:space="preserve"> note that t</w:t>
      </w:r>
      <w:r w:rsidR="40F6E312">
        <w:t xml:space="preserve">he encumbrance and liquidation dates </w:t>
      </w:r>
      <w:r w:rsidR="7A683FB2">
        <w:t xml:space="preserve">for a portion of this funding </w:t>
      </w:r>
      <w:r w:rsidR="40F6E312">
        <w:t xml:space="preserve">have been updated since the draft solicitation was posted. Section </w:t>
      </w:r>
      <w:r w:rsidR="00F035C5">
        <w:t>63</w:t>
      </w:r>
      <w:r w:rsidR="40F6E312">
        <w:t xml:space="preserve"> in Assembly Bill 113 </w:t>
      </w:r>
      <w:r w:rsidR="00972665">
        <w:t xml:space="preserve">was </w:t>
      </w:r>
      <w:r w:rsidR="40F6E312">
        <w:t xml:space="preserve">added to the Budget Act of 2026 to extend the availability of </w:t>
      </w:r>
      <w:r w:rsidR="6142265C">
        <w:t>$</w:t>
      </w:r>
      <w:r w:rsidR="6142265C" w:rsidDel="00F035C5">
        <w:t xml:space="preserve">10 </w:t>
      </w:r>
      <w:r w:rsidR="6142265C">
        <w:t xml:space="preserve">million of </w:t>
      </w:r>
      <w:r w:rsidR="6A450F08">
        <w:t xml:space="preserve">the Proposition 4 funding </w:t>
      </w:r>
      <w:r w:rsidR="40F6E312">
        <w:t xml:space="preserve">for encumbrance or expenditure until June 30, 2029, and for liquidation until June 30, 2031. </w:t>
      </w:r>
      <w:r w:rsidR="723485A7" w:rsidRPr="67BCFF7C">
        <w:rPr>
          <w:b/>
        </w:rPr>
        <w:t>For purposes of this solicitation</w:t>
      </w:r>
      <w:r w:rsidR="321F082F" w:rsidRPr="67BCFF7C">
        <w:rPr>
          <w:b/>
        </w:rPr>
        <w:t xml:space="preserve">, </w:t>
      </w:r>
      <w:r w:rsidR="723485A7" w:rsidRPr="67BCFF7C">
        <w:rPr>
          <w:b/>
        </w:rPr>
        <w:t xml:space="preserve">the evaluation of project readiness, </w:t>
      </w:r>
      <w:r w:rsidR="24A7ED76" w:rsidRPr="67BCFF7C">
        <w:rPr>
          <w:b/>
        </w:rPr>
        <w:t xml:space="preserve">and the announcement of proposed awards, </w:t>
      </w:r>
      <w:r w:rsidR="723485A7" w:rsidRPr="67BCFF7C">
        <w:rPr>
          <w:b/>
        </w:rPr>
        <w:t>the original encumbrance and liquid</w:t>
      </w:r>
      <w:r w:rsidR="6934354F" w:rsidRPr="67BCFF7C">
        <w:rPr>
          <w:b/>
        </w:rPr>
        <w:t xml:space="preserve">ation dates </w:t>
      </w:r>
      <w:r w:rsidR="7BFCA752" w:rsidRPr="6ECBEA00">
        <w:rPr>
          <w:b/>
          <w:bCs/>
        </w:rPr>
        <w:t>(</w:t>
      </w:r>
      <w:r w:rsidR="7BFCA752" w:rsidRPr="69C186D2">
        <w:rPr>
          <w:b/>
          <w:bCs/>
        </w:rPr>
        <w:t xml:space="preserve">June 30, </w:t>
      </w:r>
      <w:proofErr w:type="gramStart"/>
      <w:r w:rsidR="7BFCA752" w:rsidRPr="69C186D2">
        <w:rPr>
          <w:b/>
          <w:bCs/>
        </w:rPr>
        <w:t>2028</w:t>
      </w:r>
      <w:proofErr w:type="gramEnd"/>
      <w:r w:rsidR="7BFCA752" w:rsidRPr="69C186D2">
        <w:rPr>
          <w:b/>
          <w:bCs/>
        </w:rPr>
        <w:t xml:space="preserve"> and June </w:t>
      </w:r>
      <w:r w:rsidR="7BFCA752" w:rsidRPr="320C3997">
        <w:rPr>
          <w:b/>
          <w:bCs/>
        </w:rPr>
        <w:t xml:space="preserve">30, 2030, respectively) </w:t>
      </w:r>
      <w:r w:rsidR="6934354F" w:rsidRPr="320C3997">
        <w:rPr>
          <w:b/>
          <w:bCs/>
        </w:rPr>
        <w:t>will</w:t>
      </w:r>
      <w:r w:rsidR="6934354F" w:rsidRPr="67BCFF7C">
        <w:rPr>
          <w:b/>
        </w:rPr>
        <w:t xml:space="preserve"> constitute the deadlines that </w:t>
      </w:r>
      <w:r w:rsidR="723485A7" w:rsidRPr="67BCFF7C">
        <w:rPr>
          <w:b/>
        </w:rPr>
        <w:t>successful application</w:t>
      </w:r>
      <w:r w:rsidR="35F901D6" w:rsidRPr="67BCFF7C">
        <w:rPr>
          <w:b/>
        </w:rPr>
        <w:t>s</w:t>
      </w:r>
      <w:r w:rsidR="723485A7" w:rsidRPr="67BCFF7C">
        <w:rPr>
          <w:b/>
        </w:rPr>
        <w:t xml:space="preserve"> </w:t>
      </w:r>
      <w:r w:rsidR="723485A7" w:rsidRPr="67BCFF7C">
        <w:rPr>
          <w:b/>
          <w:u w:val="single"/>
        </w:rPr>
        <w:t>must</w:t>
      </w:r>
      <w:r w:rsidR="723485A7" w:rsidRPr="67BCFF7C">
        <w:rPr>
          <w:b/>
        </w:rPr>
        <w:t xml:space="preserve"> </w:t>
      </w:r>
      <w:r w:rsidR="140E3CFF" w:rsidRPr="67BCFF7C">
        <w:rPr>
          <w:b/>
        </w:rPr>
        <w:t>demonstrate meeting</w:t>
      </w:r>
      <w:r w:rsidR="4391662C" w:rsidRPr="67BCFF7C">
        <w:rPr>
          <w:b/>
        </w:rPr>
        <w:t xml:space="preserve"> for agreement execution and coming online</w:t>
      </w:r>
      <w:r w:rsidR="16D05750" w:rsidRPr="67BCFF7C">
        <w:rPr>
          <w:b/>
        </w:rPr>
        <w:t>.</w:t>
      </w:r>
      <w:r w:rsidR="16D05750">
        <w:t xml:space="preserve"> However, </w:t>
      </w:r>
      <w:r w:rsidR="007B472E">
        <w:t xml:space="preserve">after the Notice of Proposed Awards is posted, </w:t>
      </w:r>
      <w:r w:rsidR="16D05750">
        <w:t xml:space="preserve">to the extent </w:t>
      </w:r>
      <w:r w:rsidR="593E7442">
        <w:t xml:space="preserve">current and future </w:t>
      </w:r>
      <w:r w:rsidR="16D05750">
        <w:t xml:space="preserve">statutory appropriation allows, the CEC </w:t>
      </w:r>
      <w:r w:rsidR="616FA919">
        <w:t xml:space="preserve">will in its sole discretion </w:t>
      </w:r>
      <w:r w:rsidR="00820E6F">
        <w:t xml:space="preserve">determine </w:t>
      </w:r>
      <w:r w:rsidR="616FA919">
        <w:t xml:space="preserve">how to allocate the funding with extended dates across the direct awards or </w:t>
      </w:r>
      <w:r w:rsidR="005A5799">
        <w:t>competitive</w:t>
      </w:r>
      <w:r w:rsidR="616FA919">
        <w:t xml:space="preserve"> </w:t>
      </w:r>
      <w:proofErr w:type="gramStart"/>
      <w:r w:rsidR="616FA919">
        <w:t>awards, and</w:t>
      </w:r>
      <w:proofErr w:type="gramEnd"/>
      <w:r w:rsidR="616FA919">
        <w:t xml:space="preserve"> </w:t>
      </w:r>
      <w:r w:rsidR="727911D5">
        <w:t>may</w:t>
      </w:r>
      <w:r w:rsidR="04C63A92">
        <w:t xml:space="preserve"> in its sole discretion</w:t>
      </w:r>
      <w:r w:rsidR="16D05750">
        <w:t xml:space="preserve"> provide some </w:t>
      </w:r>
      <w:r w:rsidR="07D50C7E">
        <w:t xml:space="preserve">limited </w:t>
      </w:r>
      <w:r w:rsidR="16D05750">
        <w:t>flexibility</w:t>
      </w:r>
      <w:r w:rsidR="40F6E312">
        <w:t xml:space="preserve"> </w:t>
      </w:r>
      <w:r w:rsidR="6EC1C510">
        <w:t>on a project-by-project basis</w:t>
      </w:r>
      <w:r w:rsidR="6D97BD1C">
        <w:t xml:space="preserve"> to the deadlines for agreement execution and project completion.</w:t>
      </w:r>
    </w:p>
    <w:p w14:paraId="22B9774A" w14:textId="728A5C40" w:rsidR="204CCBE9" w:rsidRDefault="204CCBE9"/>
    <w:p w14:paraId="0066829F" w14:textId="77777777" w:rsidR="00674AE1" w:rsidRDefault="00674AE1" w:rsidP="00B6721C">
      <w:pPr>
        <w:pStyle w:val="Heading3"/>
        <w:ind w:left="0"/>
      </w:pPr>
      <w:bookmarkStart w:id="86" w:name="_Toc243558500"/>
      <w:r>
        <w:lastRenderedPageBreak/>
        <w:t xml:space="preserve">Definitions of </w:t>
      </w:r>
      <w:r w:rsidRPr="00756BAC">
        <w:t>Key</w:t>
      </w:r>
      <w:r>
        <w:t>w</w:t>
      </w:r>
      <w:r w:rsidRPr="00756BAC">
        <w:t>ords</w:t>
      </w:r>
      <w:bookmarkEnd w:id="86"/>
    </w:p>
    <w:p w14:paraId="77ADC475" w14:textId="77777777" w:rsidR="00674AE1" w:rsidRDefault="00674AE1" w:rsidP="00674AE1">
      <w:r>
        <w:t xml:space="preserve">Table 1 provides the words or terms commonly used throughout this manual along with a definition. </w:t>
      </w:r>
    </w:p>
    <w:p w14:paraId="6056AD45" w14:textId="77777777" w:rsidR="00674AE1" w:rsidRPr="003F6147" w:rsidRDefault="00674AE1" w:rsidP="00674AE1">
      <w:pPr>
        <w:pStyle w:val="TableTitle"/>
      </w:pPr>
      <w:bookmarkStart w:id="87" w:name="_Toc243558585"/>
      <w:r>
        <w:t>Table 1: Definition of Keywords</w:t>
      </w:r>
      <w:bookmarkEnd w:id="87"/>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430"/>
        <w:gridCol w:w="6930"/>
      </w:tblGrid>
      <w:tr w:rsidR="00674AE1" w:rsidRPr="003F6147" w14:paraId="7C289E43" w14:textId="77777777">
        <w:trPr>
          <w:cantSplit/>
          <w:trHeight w:val="235"/>
          <w:tblHeader/>
        </w:trPr>
        <w:tc>
          <w:tcPr>
            <w:tcW w:w="2430" w:type="dxa"/>
            <w:shd w:val="clear" w:color="auto" w:fill="D9D9D9" w:themeFill="background1" w:themeFillShade="D9"/>
            <w:vAlign w:val="center"/>
          </w:tcPr>
          <w:p w14:paraId="78422686" w14:textId="77777777" w:rsidR="00674AE1" w:rsidRPr="003F6147" w:rsidRDefault="00674AE1">
            <w:pPr>
              <w:keepNext/>
              <w:keepLines/>
            </w:pPr>
            <w:r w:rsidRPr="003F6147">
              <w:t>Word/Term</w:t>
            </w:r>
          </w:p>
        </w:tc>
        <w:tc>
          <w:tcPr>
            <w:tcW w:w="6930" w:type="dxa"/>
            <w:shd w:val="clear" w:color="auto" w:fill="D9D9D9" w:themeFill="background1" w:themeFillShade="D9"/>
            <w:vAlign w:val="center"/>
          </w:tcPr>
          <w:p w14:paraId="1CCCE98E" w14:textId="77777777" w:rsidR="00674AE1" w:rsidRPr="003F6147" w:rsidRDefault="00674AE1">
            <w:pPr>
              <w:keepNext/>
              <w:keepLines/>
            </w:pPr>
            <w:r w:rsidRPr="003F6147">
              <w:t>Definition</w:t>
            </w:r>
          </w:p>
        </w:tc>
      </w:tr>
      <w:tr w:rsidR="00674AE1" w:rsidRPr="003F6147" w14:paraId="397754D7" w14:textId="77777777">
        <w:trPr>
          <w:cantSplit/>
        </w:trPr>
        <w:tc>
          <w:tcPr>
            <w:tcW w:w="2430" w:type="dxa"/>
          </w:tcPr>
          <w:p w14:paraId="1D5E0EB0" w14:textId="77777777" w:rsidR="00674AE1" w:rsidRPr="003F6147" w:rsidRDefault="00674AE1">
            <w:r w:rsidRPr="003F6147">
              <w:t>Applicant</w:t>
            </w:r>
          </w:p>
        </w:tc>
        <w:tc>
          <w:tcPr>
            <w:tcW w:w="6930" w:type="dxa"/>
          </w:tcPr>
          <w:p w14:paraId="3C663E78" w14:textId="77777777" w:rsidR="00674AE1" w:rsidRPr="003F6147" w:rsidRDefault="00674AE1">
            <w:r>
              <w:t>An</w:t>
            </w:r>
            <w:r w:rsidRPr="003F6147">
              <w:t xml:space="preserve"> entity that </w:t>
            </w:r>
            <w:proofErr w:type="gramStart"/>
            <w:r w:rsidRPr="003F6147">
              <w:t>submits an application</w:t>
            </w:r>
            <w:proofErr w:type="gramEnd"/>
            <w:r w:rsidRPr="003F6147">
              <w:t xml:space="preserve"> to this solicitation</w:t>
            </w:r>
            <w:r>
              <w:t>.</w:t>
            </w:r>
          </w:p>
        </w:tc>
      </w:tr>
      <w:tr w:rsidR="00674AE1" w:rsidRPr="003F6147" w14:paraId="23322AED" w14:textId="77777777">
        <w:trPr>
          <w:cantSplit/>
        </w:trPr>
        <w:tc>
          <w:tcPr>
            <w:tcW w:w="2430" w:type="dxa"/>
          </w:tcPr>
          <w:p w14:paraId="31FE8E61" w14:textId="77777777" w:rsidR="00674AE1" w:rsidRPr="003F6147" w:rsidRDefault="00674AE1">
            <w:r w:rsidRPr="003F6147">
              <w:t>Application</w:t>
            </w:r>
          </w:p>
        </w:tc>
        <w:tc>
          <w:tcPr>
            <w:tcW w:w="6930" w:type="dxa"/>
          </w:tcPr>
          <w:p w14:paraId="0DA8E3A7" w14:textId="77777777" w:rsidR="00674AE1" w:rsidRPr="003F6147" w:rsidRDefault="00674AE1">
            <w:r w:rsidRPr="003F6147">
              <w:t>An applicant’s written response to this solicitation</w:t>
            </w:r>
            <w:r>
              <w:t>.</w:t>
            </w:r>
          </w:p>
        </w:tc>
      </w:tr>
      <w:tr w:rsidR="00674AE1" w:rsidRPr="003F6147" w14:paraId="684E187E" w14:textId="77777777">
        <w:trPr>
          <w:cantSplit/>
        </w:trPr>
        <w:tc>
          <w:tcPr>
            <w:tcW w:w="2430" w:type="dxa"/>
          </w:tcPr>
          <w:p w14:paraId="56A594D9" w14:textId="77777777" w:rsidR="00674AE1" w:rsidRPr="003F6147" w:rsidRDefault="00674AE1">
            <w:r>
              <w:t>Authorized Representative</w:t>
            </w:r>
          </w:p>
        </w:tc>
        <w:tc>
          <w:tcPr>
            <w:tcW w:w="6930" w:type="dxa"/>
          </w:tcPr>
          <w:p w14:paraId="294C1F00" w14:textId="77777777" w:rsidR="00674AE1" w:rsidRPr="008964A1" w:rsidRDefault="00674AE1">
            <w:r>
              <w:t xml:space="preserve">The person submitting the application who has authority to enter into an agreement with the CEC. </w:t>
            </w:r>
          </w:p>
        </w:tc>
      </w:tr>
      <w:tr w:rsidR="00674AE1" w:rsidRPr="003F6147" w14:paraId="0026980B" w14:textId="77777777">
        <w:trPr>
          <w:cantSplit/>
        </w:trPr>
        <w:tc>
          <w:tcPr>
            <w:tcW w:w="2430" w:type="dxa"/>
          </w:tcPr>
          <w:p w14:paraId="170E7D48" w14:textId="77777777" w:rsidR="00674AE1" w:rsidRDefault="00674AE1">
            <w:r>
              <w:t>BA</w:t>
            </w:r>
          </w:p>
        </w:tc>
        <w:tc>
          <w:tcPr>
            <w:tcW w:w="6930" w:type="dxa"/>
          </w:tcPr>
          <w:p w14:paraId="21E8EF07" w14:textId="77777777" w:rsidR="00674AE1" w:rsidRDefault="00674AE1">
            <w:r w:rsidRPr="43797883">
              <w:rPr>
                <w:i/>
                <w:iCs/>
              </w:rPr>
              <w:t>Balancing Authority</w:t>
            </w:r>
            <w:r>
              <w:t>, the responsible entity that operates a transmission control area.</w:t>
            </w:r>
          </w:p>
        </w:tc>
      </w:tr>
      <w:tr w:rsidR="00674AE1" w:rsidRPr="003F6147" w14:paraId="3FE20EAB" w14:textId="77777777">
        <w:trPr>
          <w:cantSplit/>
        </w:trPr>
        <w:tc>
          <w:tcPr>
            <w:tcW w:w="2430" w:type="dxa"/>
          </w:tcPr>
          <w:p w14:paraId="63A38FD2" w14:textId="77777777" w:rsidR="00674AE1" w:rsidRDefault="00674AE1">
            <w:r>
              <w:t>BTM</w:t>
            </w:r>
          </w:p>
        </w:tc>
        <w:tc>
          <w:tcPr>
            <w:tcW w:w="6930" w:type="dxa"/>
          </w:tcPr>
          <w:p w14:paraId="14D1637A" w14:textId="77777777" w:rsidR="00674AE1" w:rsidRDefault="00674AE1">
            <w:r w:rsidRPr="006529CF">
              <w:rPr>
                <w:i/>
                <w:iCs/>
              </w:rPr>
              <w:t>Behind-the-Meter</w:t>
            </w:r>
            <w:r>
              <w:t xml:space="preserve"> </w:t>
            </w:r>
            <w:r w:rsidRPr="00B919D7">
              <w:t>energy resources located on the customer's side of the utility meter, including resources connected to a dedicated net generation output meter (NGOM) and participating in virtual net metering (VNEM)</w:t>
            </w:r>
            <w:r>
              <w:t>.</w:t>
            </w:r>
          </w:p>
        </w:tc>
      </w:tr>
      <w:tr w:rsidR="00674AE1" w:rsidRPr="003F6147" w14:paraId="144EE504" w14:textId="77777777">
        <w:trPr>
          <w:cantSplit/>
        </w:trPr>
        <w:tc>
          <w:tcPr>
            <w:tcW w:w="2430" w:type="dxa"/>
          </w:tcPr>
          <w:p w14:paraId="5E599DAC" w14:textId="77777777" w:rsidR="00674AE1" w:rsidRDefault="00674AE1">
            <w:r w:rsidRPr="00754413">
              <w:t xml:space="preserve">California Native American Tribe </w:t>
            </w:r>
          </w:p>
        </w:tc>
        <w:tc>
          <w:tcPr>
            <w:tcW w:w="6930" w:type="dxa"/>
          </w:tcPr>
          <w:p w14:paraId="2F02AA60" w14:textId="77777777" w:rsidR="00674AE1" w:rsidDel="008011F4" w:rsidRDefault="00674AE1">
            <w:pPr>
              <w:rPr>
                <w:i/>
              </w:rPr>
            </w:pPr>
            <w:r w:rsidRPr="00206667">
              <w:t xml:space="preserve">A </w:t>
            </w:r>
            <w:r w:rsidRPr="00754413">
              <w:t>Native American Tribe</w:t>
            </w:r>
            <w:r w:rsidRPr="00206667">
              <w:t xml:space="preserve"> located in California that is on the contact list maintained by the Native American Heritage Commission for the purposes of Chapter 905 of the Statutes of 2004 (Pub. Resources Code, § 21073).</w:t>
            </w:r>
          </w:p>
        </w:tc>
      </w:tr>
      <w:tr w:rsidR="00674AE1" w:rsidRPr="003F6147" w14:paraId="0C4CB7A1" w14:textId="77777777">
        <w:trPr>
          <w:cantSplit/>
        </w:trPr>
        <w:tc>
          <w:tcPr>
            <w:tcW w:w="2430" w:type="dxa"/>
          </w:tcPr>
          <w:p w14:paraId="31B49083" w14:textId="77777777" w:rsidR="00674AE1" w:rsidRPr="00206667" w:rsidRDefault="00674AE1">
            <w:r w:rsidRPr="00754413">
              <w:t>California Tribal Organization</w:t>
            </w:r>
          </w:p>
        </w:tc>
        <w:tc>
          <w:tcPr>
            <w:tcW w:w="6930" w:type="dxa"/>
          </w:tcPr>
          <w:p w14:paraId="7718C50F" w14:textId="77777777" w:rsidR="00674AE1" w:rsidRPr="00206667" w:rsidRDefault="00674AE1">
            <w:r w:rsidRPr="00362F91">
              <w:t xml:space="preserve">A corporation, association, or group controlled, sanctioned, or chartered by a </w:t>
            </w:r>
            <w:r w:rsidRPr="00754413">
              <w:t>California Native American tribe</w:t>
            </w:r>
            <w:r w:rsidRPr="00362F91">
              <w:t xml:space="preserve"> that is subject to its laws, the laws of the State of California, or the laws of the United States.</w:t>
            </w:r>
          </w:p>
        </w:tc>
      </w:tr>
      <w:tr w:rsidR="00674AE1" w:rsidRPr="003F6147" w14:paraId="050A8D08" w14:textId="77777777">
        <w:trPr>
          <w:cantSplit/>
        </w:trPr>
        <w:tc>
          <w:tcPr>
            <w:tcW w:w="2430" w:type="dxa"/>
          </w:tcPr>
          <w:p w14:paraId="762D539B" w14:textId="77777777" w:rsidR="00674AE1" w:rsidRPr="003F6147" w:rsidRDefault="00674AE1">
            <w:r w:rsidRPr="003F6147">
              <w:t>CAM</w:t>
            </w:r>
          </w:p>
        </w:tc>
        <w:tc>
          <w:tcPr>
            <w:tcW w:w="6930" w:type="dxa"/>
          </w:tcPr>
          <w:p w14:paraId="43ED6362" w14:textId="77777777" w:rsidR="00674AE1" w:rsidRPr="003F6147" w:rsidRDefault="00674AE1">
            <w:r w:rsidRPr="003F6147">
              <w:rPr>
                <w:i/>
              </w:rPr>
              <w:t>Commission Agreement Manager,</w:t>
            </w:r>
            <w:r w:rsidRPr="003F6147">
              <w:t xml:space="preserve"> the person designated by the CEC to oversee the performance of an agreement resulting from this solicitation and to serve as the main point of contact for the </w:t>
            </w:r>
            <w:r>
              <w:t>grant r</w:t>
            </w:r>
            <w:r w:rsidRPr="003F6147">
              <w:t>ecipient</w:t>
            </w:r>
            <w:r>
              <w:t>.</w:t>
            </w:r>
          </w:p>
        </w:tc>
      </w:tr>
      <w:tr w:rsidR="00674AE1" w:rsidRPr="003F6147" w14:paraId="76F1A7DF" w14:textId="77777777">
        <w:trPr>
          <w:cantSplit/>
        </w:trPr>
        <w:tc>
          <w:tcPr>
            <w:tcW w:w="2430" w:type="dxa"/>
          </w:tcPr>
          <w:p w14:paraId="00D12B00" w14:textId="77777777" w:rsidR="00674AE1" w:rsidRPr="003F6147" w:rsidRDefault="00674AE1">
            <w:r w:rsidRPr="003F6147">
              <w:t>CAO</w:t>
            </w:r>
          </w:p>
        </w:tc>
        <w:tc>
          <w:tcPr>
            <w:tcW w:w="6930" w:type="dxa"/>
          </w:tcPr>
          <w:p w14:paraId="736B503A" w14:textId="77777777" w:rsidR="00674AE1" w:rsidRPr="003F6147" w:rsidRDefault="00674AE1">
            <w:pPr>
              <w:rPr>
                <w:i/>
              </w:rPr>
            </w:pPr>
            <w:r w:rsidRPr="00CE61FD">
              <w:rPr>
                <w:i/>
                <w:iCs/>
              </w:rPr>
              <w:t>Commission Agreement Officer</w:t>
            </w:r>
            <w:r w:rsidRPr="00CC0D0D">
              <w:t>, the person designated by the CEC to oversee the internal administrative processes and to serve as the main point of contact for solicitation applicants</w:t>
            </w:r>
            <w:r>
              <w:t>.</w:t>
            </w:r>
          </w:p>
        </w:tc>
      </w:tr>
      <w:tr w:rsidR="00674AE1" w:rsidRPr="003F6147" w14:paraId="14E71044" w14:textId="77777777">
        <w:trPr>
          <w:cantSplit/>
        </w:trPr>
        <w:tc>
          <w:tcPr>
            <w:tcW w:w="2430" w:type="dxa"/>
          </w:tcPr>
          <w:p w14:paraId="2FC2037C" w14:textId="77777777" w:rsidR="00674AE1" w:rsidRPr="003F6147" w:rsidRDefault="00674AE1">
            <w:r w:rsidRPr="003F6147">
              <w:t>CEC</w:t>
            </w:r>
          </w:p>
        </w:tc>
        <w:tc>
          <w:tcPr>
            <w:tcW w:w="6930" w:type="dxa"/>
          </w:tcPr>
          <w:p w14:paraId="410C6E0F" w14:textId="77777777" w:rsidR="00674AE1" w:rsidRPr="003F6147" w:rsidRDefault="00674AE1">
            <w:r w:rsidRPr="003F6147">
              <w:t xml:space="preserve">State Energy Resources Conservation and Development Commission or the </w:t>
            </w:r>
            <w:r w:rsidRPr="007E0AF1">
              <w:rPr>
                <w:i/>
                <w:iCs/>
              </w:rPr>
              <w:t>California Energy Commission</w:t>
            </w:r>
            <w:r>
              <w:t>.</w:t>
            </w:r>
          </w:p>
        </w:tc>
      </w:tr>
      <w:tr w:rsidR="00674AE1" w:rsidRPr="003F6147" w14:paraId="7F806AD4" w14:textId="77777777">
        <w:trPr>
          <w:cantSplit/>
        </w:trPr>
        <w:tc>
          <w:tcPr>
            <w:tcW w:w="2430" w:type="dxa"/>
          </w:tcPr>
          <w:p w14:paraId="7F67B9DF" w14:textId="77777777" w:rsidR="00674AE1" w:rsidRPr="003F6147" w:rsidRDefault="00674AE1">
            <w:r>
              <w:t>CEC funds</w:t>
            </w:r>
          </w:p>
        </w:tc>
        <w:tc>
          <w:tcPr>
            <w:tcW w:w="6930" w:type="dxa"/>
          </w:tcPr>
          <w:p w14:paraId="4952908E" w14:textId="77777777" w:rsidR="00674AE1" w:rsidRPr="003F6147" w:rsidRDefault="00674AE1">
            <w:r w:rsidRPr="009B7AA1">
              <w:rPr>
                <w:i/>
                <w:iCs/>
              </w:rPr>
              <w:t xml:space="preserve">CEC funds </w:t>
            </w:r>
            <w:r w:rsidRPr="009B7AA1">
              <w:t xml:space="preserve">are </w:t>
            </w:r>
            <w:r>
              <w:t>DEBA</w:t>
            </w:r>
            <w:r w:rsidRPr="009B7AA1">
              <w:t xml:space="preserve"> grant funds awarded under this solicitation</w:t>
            </w:r>
            <w:r>
              <w:t>, a</w:t>
            </w:r>
            <w:r w:rsidRPr="009B7AA1">
              <w:t xml:space="preserve">lso referred to as </w:t>
            </w:r>
            <w:r>
              <w:t>“</w:t>
            </w:r>
            <w:r w:rsidRPr="009B7AA1">
              <w:t>grant funds</w:t>
            </w:r>
            <w:r>
              <w:t>”</w:t>
            </w:r>
            <w:r w:rsidRPr="009B7AA1">
              <w:t>.</w:t>
            </w:r>
          </w:p>
        </w:tc>
      </w:tr>
      <w:tr w:rsidR="00674AE1" w:rsidRPr="003F6147" w14:paraId="22EDC8B4" w14:textId="77777777">
        <w:trPr>
          <w:cantSplit/>
        </w:trPr>
        <w:tc>
          <w:tcPr>
            <w:tcW w:w="2430" w:type="dxa"/>
          </w:tcPr>
          <w:p w14:paraId="7C8F3FA6" w14:textId="77777777" w:rsidR="00674AE1" w:rsidRPr="003F6147" w:rsidRDefault="00674AE1">
            <w:r w:rsidRPr="003F6147">
              <w:t>CEQA</w:t>
            </w:r>
          </w:p>
        </w:tc>
        <w:tc>
          <w:tcPr>
            <w:tcW w:w="6930" w:type="dxa"/>
          </w:tcPr>
          <w:p w14:paraId="1E89AE3B" w14:textId="77777777" w:rsidR="00674AE1" w:rsidRPr="003F6147" w:rsidRDefault="00674AE1">
            <w:r w:rsidRPr="008F7898">
              <w:rPr>
                <w:i/>
                <w:iCs/>
              </w:rPr>
              <w:t>California Environmental Quality Act</w:t>
            </w:r>
            <w:r w:rsidRPr="003F6147">
              <w:t xml:space="preserve">, California Public Resources Code </w:t>
            </w:r>
            <w:r>
              <w:t>Sections</w:t>
            </w:r>
            <w:r w:rsidRPr="003F6147">
              <w:t xml:space="preserve"> 21000 </w:t>
            </w:r>
            <w:r w:rsidRPr="00F32637">
              <w:rPr>
                <w:i/>
              </w:rPr>
              <w:t>et seq</w:t>
            </w:r>
            <w:r w:rsidRPr="003F6147">
              <w:t>.</w:t>
            </w:r>
          </w:p>
        </w:tc>
      </w:tr>
      <w:tr w:rsidR="00674AE1" w:rsidRPr="003F6147" w14:paraId="06939D3E" w14:textId="77777777">
        <w:trPr>
          <w:cantSplit/>
        </w:trPr>
        <w:tc>
          <w:tcPr>
            <w:tcW w:w="2430" w:type="dxa"/>
          </w:tcPr>
          <w:p w14:paraId="17396EDF" w14:textId="77777777" w:rsidR="00674AE1" w:rsidRPr="00ED0B67" w:rsidRDefault="00674AE1">
            <w:pPr>
              <w:rPr>
                <w:szCs w:val="24"/>
              </w:rPr>
            </w:pPr>
            <w:r>
              <w:rPr>
                <w:szCs w:val="24"/>
              </w:rPr>
              <w:lastRenderedPageBreak/>
              <w:t>CPUC</w:t>
            </w:r>
          </w:p>
        </w:tc>
        <w:tc>
          <w:tcPr>
            <w:tcW w:w="6930" w:type="dxa"/>
          </w:tcPr>
          <w:p w14:paraId="115F0D73" w14:textId="77777777" w:rsidR="00674AE1" w:rsidRDefault="00674AE1">
            <w:pPr>
              <w:rPr>
                <w:rStyle w:val="CommentReference"/>
                <w:sz w:val="24"/>
                <w:szCs w:val="24"/>
              </w:rPr>
            </w:pPr>
            <w:r w:rsidRPr="006529CF">
              <w:rPr>
                <w:i/>
                <w:iCs/>
              </w:rPr>
              <w:t>California Public Utilities Commission</w:t>
            </w:r>
            <w:r>
              <w:t>,</w:t>
            </w:r>
            <w:r w:rsidRPr="00B729E8">
              <w:t xml:space="preserve"> a regulatory agency that regulates privately-owned public utilities in the State of California, including electric power, telecommunications, gas, and water companies.</w:t>
            </w:r>
          </w:p>
        </w:tc>
      </w:tr>
      <w:tr w:rsidR="00967D18" w:rsidRPr="003F6147" w14:paraId="2E21B144" w14:textId="77777777">
        <w:trPr>
          <w:cantSplit/>
        </w:trPr>
        <w:tc>
          <w:tcPr>
            <w:tcW w:w="2430" w:type="dxa"/>
          </w:tcPr>
          <w:p w14:paraId="49D46E41" w14:textId="58BFB1B8" w:rsidR="00967D18" w:rsidRDefault="00967D18">
            <w:pPr>
              <w:rPr>
                <w:szCs w:val="24"/>
              </w:rPr>
            </w:pPr>
            <w:r>
              <w:rPr>
                <w:szCs w:val="24"/>
              </w:rPr>
              <w:t>Customer(s)</w:t>
            </w:r>
          </w:p>
        </w:tc>
        <w:tc>
          <w:tcPr>
            <w:tcW w:w="6930" w:type="dxa"/>
          </w:tcPr>
          <w:p w14:paraId="75969D69" w14:textId="346D0C68" w:rsidR="00967D18" w:rsidRPr="00E06705" w:rsidRDefault="00E06705">
            <w:r w:rsidRPr="00E06705">
              <w:t>A utility service account representing a home, business, or other entity.</w:t>
            </w:r>
          </w:p>
        </w:tc>
      </w:tr>
      <w:tr w:rsidR="00674AE1" w:rsidRPr="003F6147" w14:paraId="27433F11" w14:textId="77777777">
        <w:trPr>
          <w:cantSplit/>
        </w:trPr>
        <w:tc>
          <w:tcPr>
            <w:tcW w:w="2430" w:type="dxa"/>
          </w:tcPr>
          <w:p w14:paraId="68040A4B" w14:textId="77777777" w:rsidR="00674AE1" w:rsidRPr="0045212E" w:rsidRDefault="00674AE1">
            <w:r>
              <w:t>DAC</w:t>
            </w:r>
          </w:p>
        </w:tc>
        <w:tc>
          <w:tcPr>
            <w:tcW w:w="6930" w:type="dxa"/>
          </w:tcPr>
          <w:p w14:paraId="7E0BD6FA" w14:textId="601402B5" w:rsidR="00674AE1" w:rsidRPr="00FB2950" w:rsidRDefault="00674AE1">
            <w:pPr>
              <w:rPr>
                <w:i/>
                <w:iCs/>
              </w:rPr>
            </w:pPr>
            <w:r w:rsidRPr="006529CF">
              <w:rPr>
                <w:i/>
                <w:iCs/>
              </w:rPr>
              <w:t>Disadvantaged Community</w:t>
            </w:r>
            <w:r>
              <w:t xml:space="preserve">. Defined in Public Resources Code section 90100 to mean communities designated as those with a median household income of less than 80 percent of the area average or less than 80 percent of statewide median household income, as identified by the </w:t>
            </w:r>
            <w:hyperlink r:id="rId21" w:history="1">
              <w:r w:rsidRPr="00960E0C">
                <w:rPr>
                  <w:rStyle w:val="Hyperlink"/>
                  <w:rFonts w:cs="Arial"/>
                </w:rPr>
                <w:t>Climate Bond Disadvantage</w:t>
              </w:r>
              <w:r w:rsidRPr="00960E0C">
                <w:rPr>
                  <w:rStyle w:val="Hyperlink"/>
                  <w:rFonts w:cs="Arial"/>
                </w:rPr>
                <w:t>d</w:t>
              </w:r>
              <w:r w:rsidRPr="00960E0C">
                <w:rPr>
                  <w:rStyle w:val="Hyperlink"/>
                  <w:rFonts w:cs="Arial"/>
                </w:rPr>
                <w:t xml:space="preserve"> Communities Map</w:t>
              </w:r>
            </w:hyperlink>
            <w:r w:rsidR="00960E0C">
              <w:t>.</w:t>
            </w:r>
          </w:p>
        </w:tc>
      </w:tr>
      <w:tr w:rsidR="00674AE1" w:rsidRPr="003F6147" w14:paraId="401459C7" w14:textId="77777777">
        <w:trPr>
          <w:cantSplit/>
        </w:trPr>
        <w:tc>
          <w:tcPr>
            <w:tcW w:w="2430" w:type="dxa"/>
          </w:tcPr>
          <w:p w14:paraId="59D72798" w14:textId="77777777" w:rsidR="00674AE1" w:rsidRDefault="00674AE1">
            <w:r>
              <w:t>Days</w:t>
            </w:r>
          </w:p>
        </w:tc>
        <w:tc>
          <w:tcPr>
            <w:tcW w:w="6930" w:type="dxa"/>
          </w:tcPr>
          <w:p w14:paraId="2E16E9CE" w14:textId="77777777" w:rsidR="00674AE1" w:rsidRPr="00D4626E" w:rsidRDefault="00674AE1">
            <w:r>
              <w:t>Days refer to calendar days.</w:t>
            </w:r>
          </w:p>
        </w:tc>
      </w:tr>
      <w:tr w:rsidR="00674AE1" w:rsidRPr="003F6147" w14:paraId="25D8ED70" w14:textId="77777777">
        <w:trPr>
          <w:cantSplit/>
        </w:trPr>
        <w:tc>
          <w:tcPr>
            <w:tcW w:w="2430" w:type="dxa"/>
          </w:tcPr>
          <w:p w14:paraId="67C50E3E" w14:textId="77777777" w:rsidR="00674AE1" w:rsidRDefault="00674AE1">
            <w:r>
              <w:t>DEBA</w:t>
            </w:r>
          </w:p>
        </w:tc>
        <w:tc>
          <w:tcPr>
            <w:tcW w:w="6930" w:type="dxa"/>
          </w:tcPr>
          <w:p w14:paraId="0DC05065" w14:textId="77777777" w:rsidR="00674AE1" w:rsidRPr="002C79F3" w:rsidRDefault="00674AE1">
            <w:r w:rsidRPr="00D4626E">
              <w:rPr>
                <w:i/>
                <w:iCs/>
              </w:rPr>
              <w:t>Distributed Electricity Backup Assets</w:t>
            </w:r>
            <w:r>
              <w:rPr>
                <w:i/>
                <w:iCs/>
              </w:rPr>
              <w:t xml:space="preserve">, </w:t>
            </w:r>
            <w:r>
              <w:t>the source of funding for the projects awarded under this solicitation.</w:t>
            </w:r>
          </w:p>
        </w:tc>
      </w:tr>
      <w:tr w:rsidR="00674AE1" w:rsidRPr="003F6147" w14:paraId="0096B61D" w14:textId="77777777">
        <w:trPr>
          <w:cantSplit/>
        </w:trPr>
        <w:tc>
          <w:tcPr>
            <w:tcW w:w="2430" w:type="dxa"/>
          </w:tcPr>
          <w:p w14:paraId="0E19A4C0" w14:textId="77777777" w:rsidR="00674AE1" w:rsidRDefault="00674AE1">
            <w:r>
              <w:t>DER</w:t>
            </w:r>
          </w:p>
        </w:tc>
        <w:tc>
          <w:tcPr>
            <w:tcW w:w="6930" w:type="dxa"/>
          </w:tcPr>
          <w:p w14:paraId="08D22309" w14:textId="77777777" w:rsidR="00674AE1" w:rsidRPr="00D4626E" w:rsidRDefault="00674AE1">
            <w:r>
              <w:rPr>
                <w:i/>
                <w:iCs/>
              </w:rPr>
              <w:t>Distributed Energy Resource</w:t>
            </w:r>
            <w:r>
              <w:t xml:space="preserve">. For the purposes of this solicitation, “DER” means the following zero-emission resources on the electricity distribution system or behind a customer meter: energy storage, load flexibility enabling technologies, distributed generation technologies, or microgrids. </w:t>
            </w:r>
          </w:p>
        </w:tc>
      </w:tr>
      <w:tr w:rsidR="00674AE1" w:rsidRPr="003F6147" w14:paraId="14384CEE" w14:textId="77777777">
        <w:trPr>
          <w:cantSplit/>
        </w:trPr>
        <w:tc>
          <w:tcPr>
            <w:tcW w:w="2430" w:type="dxa"/>
          </w:tcPr>
          <w:p w14:paraId="30D51F99" w14:textId="77777777" w:rsidR="00674AE1" w:rsidRDefault="00674AE1">
            <w:r>
              <w:t>Dispatch</w:t>
            </w:r>
          </w:p>
        </w:tc>
        <w:tc>
          <w:tcPr>
            <w:tcW w:w="6930" w:type="dxa"/>
          </w:tcPr>
          <w:p w14:paraId="7B29F8BC" w14:textId="77777777" w:rsidR="00674AE1" w:rsidRDefault="00674AE1">
            <w:pPr>
              <w:rPr>
                <w:i/>
                <w:iCs/>
              </w:rPr>
            </w:pPr>
            <w:r w:rsidRPr="00C26F09">
              <w:t xml:space="preserve">For the purposes of this solicitation, </w:t>
            </w:r>
            <w:r>
              <w:t xml:space="preserve">“dispatch” is </w:t>
            </w:r>
            <w:r w:rsidRPr="00285BB4">
              <w:t>the measured generation, discharge, or load impact during an hour in which the</w:t>
            </w:r>
            <w:r>
              <w:t xml:space="preserve"> DEBA</w:t>
            </w:r>
            <w:r w:rsidRPr="00285BB4">
              <w:t xml:space="preserve"> resource is dispatched</w:t>
            </w:r>
            <w:r>
              <w:t>.</w:t>
            </w:r>
          </w:p>
        </w:tc>
      </w:tr>
      <w:tr w:rsidR="00674AE1" w:rsidRPr="003F6147" w14:paraId="107705DC" w14:textId="77777777">
        <w:trPr>
          <w:cantSplit/>
        </w:trPr>
        <w:tc>
          <w:tcPr>
            <w:tcW w:w="2430" w:type="dxa"/>
          </w:tcPr>
          <w:p w14:paraId="4EEC15A9" w14:textId="77777777" w:rsidR="00674AE1" w:rsidRPr="003F6147" w:rsidRDefault="00674AE1">
            <w:r w:rsidRPr="0045212E">
              <w:t>DOE</w:t>
            </w:r>
          </w:p>
        </w:tc>
        <w:tc>
          <w:tcPr>
            <w:tcW w:w="6930" w:type="dxa"/>
          </w:tcPr>
          <w:p w14:paraId="5207CE02" w14:textId="77777777" w:rsidR="00674AE1" w:rsidRPr="00FB2950" w:rsidRDefault="00674AE1">
            <w:pPr>
              <w:rPr>
                <w:i/>
                <w:iCs/>
              </w:rPr>
            </w:pPr>
            <w:r>
              <w:rPr>
                <w:i/>
                <w:iCs/>
              </w:rPr>
              <w:t xml:space="preserve">United States </w:t>
            </w:r>
            <w:r w:rsidRPr="00FB2950">
              <w:rPr>
                <w:i/>
                <w:iCs/>
              </w:rPr>
              <w:t>Department of Energy</w:t>
            </w:r>
          </w:p>
        </w:tc>
      </w:tr>
      <w:tr w:rsidR="00674AE1" w:rsidRPr="003F6147" w14:paraId="2E4B4B94" w14:textId="77777777">
        <w:trPr>
          <w:cantSplit/>
        </w:trPr>
        <w:tc>
          <w:tcPr>
            <w:tcW w:w="2430" w:type="dxa"/>
          </w:tcPr>
          <w:p w14:paraId="41288850" w14:textId="77777777" w:rsidR="00674AE1" w:rsidRDefault="00674AE1">
            <w:r>
              <w:t>ECAMS</w:t>
            </w:r>
          </w:p>
        </w:tc>
        <w:tc>
          <w:tcPr>
            <w:tcW w:w="6930" w:type="dxa"/>
          </w:tcPr>
          <w:p w14:paraId="4B02322A" w14:textId="77777777" w:rsidR="00674AE1" w:rsidRPr="00443750" w:rsidRDefault="00674AE1">
            <w:r>
              <w:rPr>
                <w:i/>
                <w:iCs/>
              </w:rPr>
              <w:t>Energy Commission Agreement Management System</w:t>
            </w:r>
            <w:r>
              <w:t>, the CEC’s designated electronic application portal.</w:t>
            </w:r>
          </w:p>
        </w:tc>
      </w:tr>
      <w:tr w:rsidR="00674AE1" w:rsidRPr="003F6147" w14:paraId="5609958F" w14:textId="77777777">
        <w:trPr>
          <w:cantSplit/>
        </w:trPr>
        <w:tc>
          <w:tcPr>
            <w:tcW w:w="2430" w:type="dxa"/>
          </w:tcPr>
          <w:p w14:paraId="199F29D6" w14:textId="77777777" w:rsidR="00674AE1" w:rsidRDefault="00674AE1">
            <w:r>
              <w:t>EEA</w:t>
            </w:r>
          </w:p>
        </w:tc>
        <w:tc>
          <w:tcPr>
            <w:tcW w:w="6930" w:type="dxa"/>
          </w:tcPr>
          <w:p w14:paraId="0A14ABA5" w14:textId="77777777" w:rsidR="00674AE1" w:rsidRDefault="00674AE1">
            <w:r w:rsidRPr="43797883">
              <w:rPr>
                <w:i/>
                <w:iCs/>
              </w:rPr>
              <w:t>Energy Emergency Alert</w:t>
            </w:r>
            <w:r w:rsidRPr="43797883">
              <w:t xml:space="preserve">, </w:t>
            </w:r>
            <w:r>
              <w:t>the California Independent System Operator’s (ISO)</w:t>
            </w:r>
            <w:r w:rsidRPr="43797883">
              <w:t xml:space="preserve"> formal declaration of an extreme event</w:t>
            </w:r>
            <w:r>
              <w:t>.</w:t>
            </w:r>
          </w:p>
        </w:tc>
      </w:tr>
      <w:tr w:rsidR="00674AE1" w:rsidRPr="003F6147" w14:paraId="4C9FCA6D" w14:textId="77777777">
        <w:trPr>
          <w:cantSplit/>
        </w:trPr>
        <w:tc>
          <w:tcPr>
            <w:tcW w:w="2430" w:type="dxa"/>
          </w:tcPr>
          <w:p w14:paraId="48BB66C4" w14:textId="77777777" w:rsidR="00674AE1" w:rsidRDefault="00674AE1">
            <w:r>
              <w:t>EEA Watch</w:t>
            </w:r>
          </w:p>
        </w:tc>
        <w:tc>
          <w:tcPr>
            <w:tcW w:w="6930" w:type="dxa"/>
          </w:tcPr>
          <w:p w14:paraId="5862428C" w14:textId="640F7123" w:rsidR="00674AE1" w:rsidRDefault="00674AE1">
            <w:pPr>
              <w:rPr>
                <w:i/>
                <w:iCs/>
              </w:rPr>
            </w:pPr>
            <w:r w:rsidRPr="00B729E8">
              <w:t xml:space="preserve">An </w:t>
            </w:r>
            <w:r w:rsidRPr="00196D06">
              <w:rPr>
                <w:i/>
                <w:iCs/>
              </w:rPr>
              <w:t>Energy Emergency Alert Watch</w:t>
            </w:r>
            <w:r w:rsidRPr="00B729E8">
              <w:t xml:space="preserve"> issued by the </w:t>
            </w:r>
            <w:r>
              <w:t xml:space="preserve">California </w:t>
            </w:r>
            <w:r w:rsidRPr="00B729E8">
              <w:t>ISO when analysis shows all available resources are committed or forecasted to be in use, and energy deficiencies are expected</w:t>
            </w:r>
            <w:r>
              <w:t>, and m</w:t>
            </w:r>
            <w:r w:rsidRPr="00B729E8">
              <w:t>arket participants are encouraged to offer supplemental energy</w:t>
            </w:r>
            <w:r w:rsidR="00D953AC">
              <w:t xml:space="preserve">. Please see the </w:t>
            </w:r>
            <w:hyperlink r:id="rId22" w:history="1">
              <w:r w:rsidRPr="00D953AC">
                <w:rPr>
                  <w:rStyle w:val="Hyperlink"/>
                  <w:rFonts w:cs="Arial"/>
                </w:rPr>
                <w:t>Califo</w:t>
              </w:r>
              <w:r w:rsidRPr="00D953AC">
                <w:rPr>
                  <w:rStyle w:val="Hyperlink"/>
                  <w:rFonts w:cs="Arial"/>
                </w:rPr>
                <w:t>r</w:t>
              </w:r>
              <w:r w:rsidRPr="00D953AC">
                <w:rPr>
                  <w:rStyle w:val="Hyperlink"/>
                  <w:rFonts w:cs="Arial"/>
                </w:rPr>
                <w:t>nia ISO Emergency Notifications Fact Sheet</w:t>
              </w:r>
            </w:hyperlink>
            <w:r w:rsidR="00D953AC">
              <w:t>.</w:t>
            </w:r>
            <w:r>
              <w:t>)</w:t>
            </w:r>
          </w:p>
        </w:tc>
      </w:tr>
      <w:tr w:rsidR="00674AE1" w:rsidRPr="003F6147" w14:paraId="7AFEDF0D" w14:textId="77777777">
        <w:trPr>
          <w:cantSplit/>
        </w:trPr>
        <w:tc>
          <w:tcPr>
            <w:tcW w:w="2430" w:type="dxa"/>
          </w:tcPr>
          <w:p w14:paraId="2925A213" w14:textId="77777777" w:rsidR="00674AE1" w:rsidRDefault="00674AE1">
            <w:r>
              <w:lastRenderedPageBreak/>
              <w:t>Extreme Event</w:t>
            </w:r>
          </w:p>
        </w:tc>
        <w:tc>
          <w:tcPr>
            <w:tcW w:w="6930" w:type="dxa"/>
          </w:tcPr>
          <w:p w14:paraId="23C76AA7" w14:textId="77777777" w:rsidR="00674AE1" w:rsidRDefault="00674AE1">
            <w:r>
              <w:t xml:space="preserve">An </w:t>
            </w:r>
            <w:r w:rsidRPr="00196D06">
              <w:rPr>
                <w:i/>
                <w:iCs/>
              </w:rPr>
              <w:t>extreme event</w:t>
            </w:r>
            <w:r>
              <w:t xml:space="preserve"> is defined in Public Resources Code section 25790.5(b) to mean either of the following:</w:t>
            </w:r>
          </w:p>
          <w:p w14:paraId="3453418A" w14:textId="77777777" w:rsidR="00674AE1" w:rsidRDefault="00674AE1">
            <w:pPr>
              <w:pStyle w:val="ListParagraph"/>
              <w:numPr>
                <w:ilvl w:val="0"/>
                <w:numId w:val="16"/>
              </w:numPr>
              <w:contextualSpacing w:val="0"/>
            </w:pPr>
            <w:r w:rsidRPr="00B729E8">
              <w:t>An event occurring at a time and place in which weather, climate, or environmental conditions, including temperature, precipitation, drought, fire, or flooding, present a level of risk that would constitute or exceed a one-in-ten event, as referred to by the North American Electric Reliability Corporation, including when forecast in advance by a load-serving entity or local publicly owned electric utility.</w:t>
            </w:r>
          </w:p>
          <w:p w14:paraId="79061FCC" w14:textId="77777777" w:rsidR="00674AE1" w:rsidRPr="00D4626E" w:rsidRDefault="00674AE1">
            <w:pPr>
              <w:pStyle w:val="ListParagraph"/>
              <w:numPr>
                <w:ilvl w:val="0"/>
                <w:numId w:val="16"/>
              </w:numPr>
              <w:contextualSpacing w:val="0"/>
            </w:pPr>
            <w:r w:rsidRPr="00B729E8">
              <w:t>An event where emergency measures are taken by a California balancing authority, including when forecast in advance by the California balancing authority.</w:t>
            </w:r>
          </w:p>
        </w:tc>
      </w:tr>
      <w:tr w:rsidR="00674AE1" w:rsidRPr="003F6147" w14:paraId="7FC7EA48" w14:textId="77777777">
        <w:trPr>
          <w:cantSplit/>
        </w:trPr>
        <w:tc>
          <w:tcPr>
            <w:tcW w:w="2430" w:type="dxa"/>
          </w:tcPr>
          <w:p w14:paraId="1EBFDF00" w14:textId="77777777" w:rsidR="00674AE1" w:rsidRDefault="00674AE1">
            <w:r>
              <w:t>FTM</w:t>
            </w:r>
          </w:p>
        </w:tc>
        <w:tc>
          <w:tcPr>
            <w:tcW w:w="6930" w:type="dxa"/>
          </w:tcPr>
          <w:p w14:paraId="41DABE6B" w14:textId="77777777" w:rsidR="00674AE1" w:rsidRPr="00443750" w:rsidRDefault="00674AE1">
            <w:r>
              <w:rPr>
                <w:i/>
                <w:iCs/>
              </w:rPr>
              <w:t xml:space="preserve">Front-of-the-meter </w:t>
            </w:r>
            <w:r>
              <w:t>energy resources</w:t>
            </w:r>
            <w:r w:rsidRPr="00B23FB7">
              <w:t xml:space="preserve"> that are interconnected on the utility side of a customer meter.</w:t>
            </w:r>
          </w:p>
        </w:tc>
      </w:tr>
      <w:tr w:rsidR="00674AE1" w:rsidRPr="003F6147" w14:paraId="1E2A6B49" w14:textId="77777777">
        <w:trPr>
          <w:cantSplit/>
        </w:trPr>
        <w:tc>
          <w:tcPr>
            <w:tcW w:w="2430" w:type="dxa"/>
          </w:tcPr>
          <w:p w14:paraId="3373BD13" w14:textId="77777777" w:rsidR="00674AE1" w:rsidRDefault="00674AE1">
            <w:r>
              <w:t>GFO</w:t>
            </w:r>
          </w:p>
        </w:tc>
        <w:tc>
          <w:tcPr>
            <w:tcW w:w="6930" w:type="dxa"/>
          </w:tcPr>
          <w:p w14:paraId="7A29518C" w14:textId="77777777" w:rsidR="00674AE1" w:rsidRPr="00443750" w:rsidRDefault="00674AE1">
            <w:r>
              <w:rPr>
                <w:i/>
                <w:iCs/>
              </w:rPr>
              <w:t>Grant Funding Opportunity</w:t>
            </w:r>
            <w:r>
              <w:t>, may be used interchangeably with “solicitation”.</w:t>
            </w:r>
          </w:p>
        </w:tc>
      </w:tr>
      <w:tr w:rsidR="00674AE1" w:rsidRPr="003F6147" w14:paraId="7DDC1069" w14:textId="77777777">
        <w:trPr>
          <w:cantSplit/>
        </w:trPr>
        <w:tc>
          <w:tcPr>
            <w:tcW w:w="2430" w:type="dxa"/>
          </w:tcPr>
          <w:p w14:paraId="5C629A12" w14:textId="77777777" w:rsidR="00674AE1" w:rsidRDefault="00674AE1">
            <w:r>
              <w:t>Grid Reliability</w:t>
            </w:r>
          </w:p>
        </w:tc>
        <w:tc>
          <w:tcPr>
            <w:tcW w:w="6930" w:type="dxa"/>
          </w:tcPr>
          <w:p w14:paraId="4DBD9A7A" w14:textId="77777777" w:rsidR="00674AE1" w:rsidRDefault="00674AE1">
            <w:pPr>
              <w:rPr>
                <w:i/>
                <w:iCs/>
              </w:rPr>
            </w:pPr>
            <w:r w:rsidRPr="00B729E8">
              <w:t>The provision of an adequate, secure, and stable flow of electricity.</w:t>
            </w:r>
          </w:p>
        </w:tc>
      </w:tr>
      <w:tr w:rsidR="00674AE1" w:rsidRPr="003F6147" w14:paraId="201CFE57" w14:textId="77777777">
        <w:trPr>
          <w:cantSplit/>
        </w:trPr>
        <w:tc>
          <w:tcPr>
            <w:tcW w:w="2430" w:type="dxa"/>
          </w:tcPr>
          <w:p w14:paraId="7E6E8107" w14:textId="77777777" w:rsidR="00674AE1" w:rsidRDefault="00674AE1">
            <w:r>
              <w:t>IOU</w:t>
            </w:r>
          </w:p>
        </w:tc>
        <w:tc>
          <w:tcPr>
            <w:tcW w:w="6930" w:type="dxa"/>
          </w:tcPr>
          <w:p w14:paraId="7058F788" w14:textId="77777777" w:rsidR="00674AE1" w:rsidRDefault="00674AE1">
            <w:r w:rsidRPr="005E6158">
              <w:rPr>
                <w:i/>
                <w:iCs/>
              </w:rPr>
              <w:t>Investor-owned utility</w:t>
            </w:r>
            <w:r w:rsidRPr="00B729E8">
              <w:t>, an electrical corporation as defined in California Public Utilities Code section 218. For purposes of this solicitation, it includes Pacific Gas and Electric Co., San Diego Gas and Electric Co., and Southern California Edison Co.</w:t>
            </w:r>
          </w:p>
        </w:tc>
      </w:tr>
      <w:tr w:rsidR="00674AE1" w:rsidRPr="003F6147" w14:paraId="5384829F" w14:textId="77777777">
        <w:trPr>
          <w:cantSplit/>
        </w:trPr>
        <w:tc>
          <w:tcPr>
            <w:tcW w:w="2430" w:type="dxa"/>
          </w:tcPr>
          <w:p w14:paraId="135612AB" w14:textId="77777777" w:rsidR="00674AE1" w:rsidRDefault="00674AE1">
            <w:r>
              <w:t>ISO</w:t>
            </w:r>
          </w:p>
        </w:tc>
        <w:tc>
          <w:tcPr>
            <w:tcW w:w="6930" w:type="dxa"/>
          </w:tcPr>
          <w:p w14:paraId="6816F366" w14:textId="77777777" w:rsidR="00674AE1" w:rsidRPr="005E6158" w:rsidRDefault="00674AE1">
            <w:pPr>
              <w:rPr>
                <w:i/>
                <w:iCs/>
              </w:rPr>
            </w:pPr>
            <w:r>
              <w:rPr>
                <w:i/>
                <w:iCs/>
              </w:rPr>
              <w:t>Independent System Operator</w:t>
            </w:r>
          </w:p>
        </w:tc>
      </w:tr>
      <w:tr w:rsidR="00674AE1" w:rsidRPr="003F6147" w14:paraId="2E9C97FD" w14:textId="77777777">
        <w:trPr>
          <w:cantSplit/>
        </w:trPr>
        <w:tc>
          <w:tcPr>
            <w:tcW w:w="2430" w:type="dxa"/>
          </w:tcPr>
          <w:p w14:paraId="1D93DD30" w14:textId="77777777" w:rsidR="00674AE1" w:rsidRDefault="00674AE1">
            <w:r>
              <w:t>kW</w:t>
            </w:r>
          </w:p>
        </w:tc>
        <w:tc>
          <w:tcPr>
            <w:tcW w:w="6930" w:type="dxa"/>
          </w:tcPr>
          <w:p w14:paraId="4C994298" w14:textId="77777777" w:rsidR="00674AE1" w:rsidRDefault="00674AE1">
            <w:pPr>
              <w:rPr>
                <w:i/>
                <w:iCs/>
              </w:rPr>
            </w:pPr>
            <w:r>
              <w:rPr>
                <w:i/>
                <w:iCs/>
              </w:rPr>
              <w:t>Kilowatt</w:t>
            </w:r>
          </w:p>
        </w:tc>
      </w:tr>
      <w:tr w:rsidR="00674AE1" w:rsidRPr="003F6147" w14:paraId="12842295" w14:textId="77777777">
        <w:trPr>
          <w:cantSplit/>
        </w:trPr>
        <w:tc>
          <w:tcPr>
            <w:tcW w:w="2430" w:type="dxa"/>
          </w:tcPr>
          <w:p w14:paraId="487F856C" w14:textId="77777777" w:rsidR="00674AE1" w:rsidRDefault="00674AE1">
            <w:r>
              <w:t>kWh</w:t>
            </w:r>
          </w:p>
        </w:tc>
        <w:tc>
          <w:tcPr>
            <w:tcW w:w="6930" w:type="dxa"/>
          </w:tcPr>
          <w:p w14:paraId="5F2E6922" w14:textId="77777777" w:rsidR="00674AE1" w:rsidRDefault="00674AE1">
            <w:pPr>
              <w:rPr>
                <w:i/>
                <w:iCs/>
              </w:rPr>
            </w:pPr>
            <w:r>
              <w:rPr>
                <w:i/>
                <w:iCs/>
              </w:rPr>
              <w:t>Kilowatt-hour</w:t>
            </w:r>
          </w:p>
        </w:tc>
      </w:tr>
      <w:tr w:rsidR="00674AE1" w:rsidRPr="003F6147" w14:paraId="43929674" w14:textId="77777777">
        <w:trPr>
          <w:cantSplit/>
        </w:trPr>
        <w:tc>
          <w:tcPr>
            <w:tcW w:w="2430" w:type="dxa"/>
          </w:tcPr>
          <w:p w14:paraId="722F70D0" w14:textId="77777777" w:rsidR="00674AE1" w:rsidRDefault="00674AE1">
            <w:r>
              <w:t>LMP</w:t>
            </w:r>
          </w:p>
        </w:tc>
        <w:tc>
          <w:tcPr>
            <w:tcW w:w="6930" w:type="dxa"/>
          </w:tcPr>
          <w:p w14:paraId="2107CEBB" w14:textId="77777777" w:rsidR="00674AE1" w:rsidRDefault="00674AE1">
            <w:pPr>
              <w:rPr>
                <w:i/>
                <w:iCs/>
              </w:rPr>
            </w:pPr>
            <w:r w:rsidRPr="005E6158">
              <w:rPr>
                <w:i/>
                <w:iCs/>
              </w:rPr>
              <w:t>Locational Marginal Price</w:t>
            </w:r>
            <w:r w:rsidRPr="00706597">
              <w:t xml:space="preserve">, the </w:t>
            </w:r>
            <w:r w:rsidRPr="00D62BA8">
              <w:t>marginal price for energy at the location where the energy is delivered or received and is based on forecasted system conditions and the latest approved real-time security constrained economic dispatch program solution.</w:t>
            </w:r>
          </w:p>
        </w:tc>
      </w:tr>
      <w:tr w:rsidR="00674AE1" w:rsidRPr="003F6147" w14:paraId="7DA483B5" w14:textId="77777777">
        <w:trPr>
          <w:cantSplit/>
        </w:trPr>
        <w:tc>
          <w:tcPr>
            <w:tcW w:w="2430" w:type="dxa"/>
          </w:tcPr>
          <w:p w14:paraId="69A2B4A8" w14:textId="77777777" w:rsidR="00674AE1" w:rsidRDefault="00674AE1">
            <w:r>
              <w:t>Load Reduction</w:t>
            </w:r>
          </w:p>
        </w:tc>
        <w:tc>
          <w:tcPr>
            <w:tcW w:w="6930" w:type="dxa"/>
          </w:tcPr>
          <w:p w14:paraId="21F98D0A" w14:textId="77777777" w:rsidR="00674AE1" w:rsidRPr="005E6158" w:rsidRDefault="00674AE1">
            <w:pPr>
              <w:rPr>
                <w:i/>
                <w:iCs/>
              </w:rPr>
            </w:pPr>
            <w:r w:rsidRPr="00B729E8">
              <w:t>A decrease in electric demand as measured at a customer site relative to a counterfactual baseline. Load reductions include behind-the-meter generation or storage discharge that result in negative demand (</w:t>
            </w:r>
            <w:r>
              <w:t>discharge</w:t>
            </w:r>
            <w:r w:rsidRPr="00B729E8">
              <w:t>) except where otherwise prohibited.</w:t>
            </w:r>
          </w:p>
        </w:tc>
      </w:tr>
      <w:tr w:rsidR="00674AE1" w:rsidRPr="003F6147" w14:paraId="38D6C7E4" w14:textId="77777777">
        <w:trPr>
          <w:cantSplit/>
        </w:trPr>
        <w:tc>
          <w:tcPr>
            <w:tcW w:w="2430" w:type="dxa"/>
          </w:tcPr>
          <w:p w14:paraId="2B5DB71C" w14:textId="77777777" w:rsidR="00674AE1" w:rsidRDefault="00674AE1">
            <w:r>
              <w:t>LSE</w:t>
            </w:r>
          </w:p>
        </w:tc>
        <w:tc>
          <w:tcPr>
            <w:tcW w:w="6930" w:type="dxa"/>
          </w:tcPr>
          <w:p w14:paraId="4546667E" w14:textId="77777777" w:rsidR="00674AE1" w:rsidRPr="005E6158" w:rsidRDefault="00674AE1">
            <w:r>
              <w:rPr>
                <w:i/>
                <w:iCs/>
              </w:rPr>
              <w:t>Load-serving entity</w:t>
            </w:r>
            <w:r>
              <w:t>, a</w:t>
            </w:r>
            <w:r w:rsidRPr="00E324D5">
              <w:t>n electric customer’s retail supplier or federal power marketing administration.</w:t>
            </w:r>
          </w:p>
        </w:tc>
      </w:tr>
      <w:tr w:rsidR="00674AE1" w:rsidRPr="003F6147" w14:paraId="7C6D9F00" w14:textId="77777777">
        <w:trPr>
          <w:cantSplit/>
        </w:trPr>
        <w:tc>
          <w:tcPr>
            <w:tcW w:w="2430" w:type="dxa"/>
          </w:tcPr>
          <w:p w14:paraId="22BF40AF" w14:textId="77777777" w:rsidR="00674AE1" w:rsidRDefault="00674AE1">
            <w:r>
              <w:lastRenderedPageBreak/>
              <w:t>MW</w:t>
            </w:r>
          </w:p>
        </w:tc>
        <w:tc>
          <w:tcPr>
            <w:tcW w:w="6930" w:type="dxa"/>
          </w:tcPr>
          <w:p w14:paraId="1E213EA9" w14:textId="77777777" w:rsidR="00674AE1" w:rsidRPr="00CB6AEF" w:rsidRDefault="00674AE1">
            <w:pPr>
              <w:rPr>
                <w:i/>
                <w:iCs/>
              </w:rPr>
            </w:pPr>
            <w:r>
              <w:rPr>
                <w:i/>
                <w:iCs/>
              </w:rPr>
              <w:t>Megawatt</w:t>
            </w:r>
          </w:p>
        </w:tc>
      </w:tr>
      <w:tr w:rsidR="00674AE1" w14:paraId="08500507" w14:textId="77777777">
        <w:trPr>
          <w:cantSplit/>
          <w:trHeight w:val="300"/>
        </w:trPr>
        <w:tc>
          <w:tcPr>
            <w:tcW w:w="2430" w:type="dxa"/>
          </w:tcPr>
          <w:p w14:paraId="1479B964" w14:textId="77777777" w:rsidR="00674AE1" w:rsidRDefault="00674AE1">
            <w:r>
              <w:t>MWh</w:t>
            </w:r>
          </w:p>
        </w:tc>
        <w:tc>
          <w:tcPr>
            <w:tcW w:w="6930" w:type="dxa"/>
          </w:tcPr>
          <w:p w14:paraId="1CC9E482" w14:textId="77777777" w:rsidR="00674AE1" w:rsidRDefault="00674AE1">
            <w:pPr>
              <w:rPr>
                <w:i/>
                <w:iCs/>
              </w:rPr>
            </w:pPr>
            <w:r w:rsidRPr="43797883">
              <w:rPr>
                <w:i/>
                <w:iCs/>
              </w:rPr>
              <w:t>Megawatt-hour</w:t>
            </w:r>
          </w:p>
        </w:tc>
      </w:tr>
      <w:tr w:rsidR="00674AE1" w:rsidRPr="003F6147" w14:paraId="12739F68" w14:textId="77777777">
        <w:trPr>
          <w:cantSplit/>
          <w:trHeight w:val="300"/>
        </w:trPr>
        <w:tc>
          <w:tcPr>
            <w:tcW w:w="2430" w:type="dxa"/>
          </w:tcPr>
          <w:p w14:paraId="00DDA10F" w14:textId="77777777" w:rsidR="00674AE1" w:rsidRPr="0045212E" w:rsidRDefault="00674AE1">
            <w:r>
              <w:t xml:space="preserve">Major Subrecipient </w:t>
            </w:r>
          </w:p>
        </w:tc>
        <w:tc>
          <w:tcPr>
            <w:tcW w:w="6930" w:type="dxa"/>
          </w:tcPr>
          <w:p w14:paraId="517862D0" w14:textId="77777777" w:rsidR="00674AE1" w:rsidRPr="0045212E" w:rsidRDefault="00674AE1">
            <w:r>
              <w:rPr>
                <w:iCs/>
              </w:rPr>
              <w:t xml:space="preserve">A subrecipient that is budgeted to receive $100,000 or more of CEC funds, not including any equipment or match funds that may be provided by the subrecipient. </w:t>
            </w:r>
          </w:p>
        </w:tc>
      </w:tr>
      <w:tr w:rsidR="00674AE1" w:rsidRPr="003F6147" w14:paraId="24F21A09" w14:textId="77777777">
        <w:trPr>
          <w:cantSplit/>
        </w:trPr>
        <w:tc>
          <w:tcPr>
            <w:tcW w:w="2430" w:type="dxa"/>
          </w:tcPr>
          <w:p w14:paraId="78B70F8D" w14:textId="77777777" w:rsidR="00674AE1" w:rsidRPr="003F6147" w:rsidRDefault="00674AE1">
            <w:r>
              <w:t>Match Funds</w:t>
            </w:r>
          </w:p>
        </w:tc>
        <w:tc>
          <w:tcPr>
            <w:tcW w:w="6930" w:type="dxa"/>
          </w:tcPr>
          <w:p w14:paraId="21DC8BF6" w14:textId="77777777" w:rsidR="00674AE1" w:rsidRPr="003F6147" w:rsidRDefault="00674AE1">
            <w:r>
              <w:t>Includes cash or in-kind (non-cash) contributions provided by the applicant, subrecipients, or other parties that will be used in performance of the proposed project.</w:t>
            </w:r>
            <w:r w:rsidDel="003426B0">
              <w:t xml:space="preserve"> </w:t>
            </w:r>
            <w:r>
              <w:t xml:space="preserve">See section I.E. for more information.  </w:t>
            </w:r>
          </w:p>
        </w:tc>
      </w:tr>
      <w:tr w:rsidR="00674AE1" w:rsidRPr="003F6147" w14:paraId="1ADAE679" w14:textId="77777777">
        <w:trPr>
          <w:cantSplit/>
        </w:trPr>
        <w:tc>
          <w:tcPr>
            <w:tcW w:w="2430" w:type="dxa"/>
          </w:tcPr>
          <w:p w14:paraId="76DD918D" w14:textId="77777777" w:rsidR="00674AE1" w:rsidRDefault="00674AE1">
            <w:r w:rsidRPr="003F6147">
              <w:t>NOPA</w:t>
            </w:r>
          </w:p>
        </w:tc>
        <w:tc>
          <w:tcPr>
            <w:tcW w:w="6930" w:type="dxa"/>
          </w:tcPr>
          <w:p w14:paraId="2D25B699" w14:textId="77777777" w:rsidR="00674AE1" w:rsidDel="00E425B5" w:rsidRDefault="00674AE1">
            <w:r w:rsidRPr="003F6147">
              <w:rPr>
                <w:i/>
              </w:rPr>
              <w:t>Notice of Proposed Award,</w:t>
            </w:r>
            <w:r w:rsidRPr="003F6147">
              <w:t xml:space="preserve"> a public notice by CEC </w:t>
            </w:r>
            <w:r>
              <w:t xml:space="preserve">staff </w:t>
            </w:r>
            <w:r w:rsidRPr="003F6147">
              <w:t xml:space="preserve">that identifies </w:t>
            </w:r>
            <w:r>
              <w:t>proposed grant</w:t>
            </w:r>
            <w:r w:rsidRPr="003F6147">
              <w:t xml:space="preserve"> recipients</w:t>
            </w:r>
            <w:r>
              <w:t>.</w:t>
            </w:r>
          </w:p>
        </w:tc>
      </w:tr>
      <w:tr w:rsidR="00674AE1" w:rsidRPr="003F6147" w14:paraId="35E0798D" w14:textId="77777777">
        <w:trPr>
          <w:cantSplit/>
        </w:trPr>
        <w:tc>
          <w:tcPr>
            <w:tcW w:w="2430" w:type="dxa"/>
          </w:tcPr>
          <w:p w14:paraId="5AC87018" w14:textId="77777777" w:rsidR="00674AE1" w:rsidRPr="00526E9C" w:rsidRDefault="00674AE1">
            <w:r w:rsidRPr="00526E9C">
              <w:t>Nonprofit Organization</w:t>
            </w:r>
          </w:p>
        </w:tc>
        <w:tc>
          <w:tcPr>
            <w:tcW w:w="6930" w:type="dxa"/>
          </w:tcPr>
          <w:p w14:paraId="56813524" w14:textId="77777777" w:rsidR="00674AE1" w:rsidRPr="00526E9C" w:rsidRDefault="00674AE1">
            <w:r>
              <w:t>Defined in Public Resources Code section 90100 to mean a</w:t>
            </w:r>
            <w:r w:rsidRPr="00526E9C">
              <w:t xml:space="preserve"> nonprofit corporation qualified to do business in California and qualified under Section 501(c)(3) of the Internal Revenue Code.</w:t>
            </w:r>
          </w:p>
        </w:tc>
      </w:tr>
      <w:tr w:rsidR="00674AE1" w:rsidRPr="003F6147" w14:paraId="21D9B1F5" w14:textId="77777777">
        <w:trPr>
          <w:cantSplit/>
        </w:trPr>
        <w:tc>
          <w:tcPr>
            <w:tcW w:w="2430" w:type="dxa"/>
          </w:tcPr>
          <w:p w14:paraId="7FA3D708" w14:textId="77777777" w:rsidR="00674AE1" w:rsidRPr="00526E9C" w:rsidRDefault="00674AE1">
            <w:r>
              <w:t>Performance Pathway</w:t>
            </w:r>
          </w:p>
        </w:tc>
        <w:tc>
          <w:tcPr>
            <w:tcW w:w="6930" w:type="dxa"/>
          </w:tcPr>
          <w:p w14:paraId="4B7D52AE" w14:textId="77777777" w:rsidR="00674AE1" w:rsidRDefault="00674AE1">
            <w:r>
              <w:t>For the purposes of this solicitation, one of four operational methods by which an Applicant can demonstrate the project’s ability to meet performance requirements.</w:t>
            </w:r>
          </w:p>
        </w:tc>
      </w:tr>
      <w:tr w:rsidR="005853B9" w:rsidRPr="003F6147" w14:paraId="30A14A2A" w14:textId="77777777">
        <w:trPr>
          <w:cantSplit/>
        </w:trPr>
        <w:tc>
          <w:tcPr>
            <w:tcW w:w="2430" w:type="dxa"/>
          </w:tcPr>
          <w:p w14:paraId="1E1F974D" w14:textId="56B0A5C6" w:rsidR="005853B9" w:rsidRDefault="005853B9">
            <w:r>
              <w:t>Program Event</w:t>
            </w:r>
          </w:p>
        </w:tc>
        <w:tc>
          <w:tcPr>
            <w:tcW w:w="6930" w:type="dxa"/>
          </w:tcPr>
          <w:p w14:paraId="3CFC2842" w14:textId="4F53C685" w:rsidR="005853B9" w:rsidRDefault="005A6149">
            <w:r>
              <w:t>An event in which a</w:t>
            </w:r>
            <w:r w:rsidR="00752D87" w:rsidRPr="00F66FE5">
              <w:t xml:space="preserve"> </w:t>
            </w:r>
            <w:r w:rsidR="000D2755">
              <w:rPr>
                <w:rFonts w:cs="Tahoma"/>
              </w:rPr>
              <w:t xml:space="preserve">project </w:t>
            </w:r>
            <w:r>
              <w:rPr>
                <w:rFonts w:cs="Tahoma"/>
              </w:rPr>
              <w:t>is</w:t>
            </w:r>
            <w:r w:rsidR="000D2755">
              <w:rPr>
                <w:rFonts w:cs="Tahoma"/>
              </w:rPr>
              <w:t xml:space="preserve"> expected to deliver </w:t>
            </w:r>
            <w:r w:rsidR="00932400">
              <w:rPr>
                <w:rFonts w:cs="Tahoma"/>
              </w:rPr>
              <w:t>its</w:t>
            </w:r>
            <w:r w:rsidR="000D2755">
              <w:rPr>
                <w:rFonts w:cs="Tahoma"/>
              </w:rPr>
              <w:t xml:space="preserve"> nominated capacity</w:t>
            </w:r>
            <w:r w:rsidR="000D2755" w:rsidRPr="0099604A">
              <w:rPr>
                <w:rFonts w:cs="Tahoma"/>
              </w:rPr>
              <w:t>.</w:t>
            </w:r>
            <w:r>
              <w:rPr>
                <w:rFonts w:cs="Tahoma"/>
              </w:rPr>
              <w:t xml:space="preserve"> </w:t>
            </w:r>
            <w:r w:rsidR="00752D87">
              <w:rPr>
                <w:rFonts w:cs="Tahoma"/>
              </w:rPr>
              <w:t xml:space="preserve">A program event </w:t>
            </w:r>
            <w:r w:rsidR="00752D87" w:rsidRPr="00F66FE5">
              <w:t xml:space="preserve">is triggered in response to a mix of </w:t>
            </w:r>
            <w:r w:rsidR="00752D87">
              <w:t>Energy Emergency Alerts (EEAs), market events, or test events</w:t>
            </w:r>
            <w:r w:rsidR="00233E5D">
              <w:t>,</w:t>
            </w:r>
            <w:r w:rsidR="00752D87">
              <w:t xml:space="preserve"> depending on the host </w:t>
            </w:r>
            <w:r>
              <w:t>B</w:t>
            </w:r>
            <w:r w:rsidR="00DA056A">
              <w:t xml:space="preserve">alancing </w:t>
            </w:r>
            <w:r>
              <w:t>A</w:t>
            </w:r>
            <w:r w:rsidR="00DA056A">
              <w:t>uthority</w:t>
            </w:r>
            <w:r w:rsidR="00233E5D">
              <w:t>.</w:t>
            </w:r>
            <w:r w:rsidR="00233E5D">
              <w:rPr>
                <w:rFonts w:cs="Tahoma"/>
              </w:rPr>
              <w:t xml:space="preserve"> </w:t>
            </w:r>
          </w:p>
        </w:tc>
      </w:tr>
      <w:tr w:rsidR="005853B9" w:rsidRPr="003F6147" w14:paraId="776D566A" w14:textId="77777777">
        <w:trPr>
          <w:cantSplit/>
        </w:trPr>
        <w:tc>
          <w:tcPr>
            <w:tcW w:w="2430" w:type="dxa"/>
          </w:tcPr>
          <w:p w14:paraId="5276B778" w14:textId="3DD228B0" w:rsidR="005853B9" w:rsidRDefault="005853B9">
            <w:r>
              <w:t>Program Hours</w:t>
            </w:r>
            <w:r w:rsidR="00644C14">
              <w:t xml:space="preserve"> </w:t>
            </w:r>
          </w:p>
        </w:tc>
        <w:tc>
          <w:tcPr>
            <w:tcW w:w="6930" w:type="dxa"/>
          </w:tcPr>
          <w:p w14:paraId="2F69584D" w14:textId="352099B7" w:rsidR="005853B9" w:rsidRDefault="00644C14">
            <w:r>
              <w:t xml:space="preserve">The five hours between 4 p.m. to 9 p.m. </w:t>
            </w:r>
            <w:r w:rsidR="006C7069">
              <w:t xml:space="preserve">when the project’s nominated capacity must be made </w:t>
            </w:r>
            <w:r w:rsidR="006C7069" w:rsidRPr="00D66D30">
              <w:t xml:space="preserve">available </w:t>
            </w:r>
            <w:r w:rsidR="006C7069">
              <w:t>for its full duration dispatch</w:t>
            </w:r>
            <w:r w:rsidR="0077399E">
              <w:t xml:space="preserve"> during the program season</w:t>
            </w:r>
            <w:r w:rsidR="006C7069">
              <w:t>.</w:t>
            </w:r>
          </w:p>
        </w:tc>
      </w:tr>
      <w:tr w:rsidR="005853B9" w:rsidRPr="003F6147" w14:paraId="4E419BD4" w14:textId="77777777">
        <w:trPr>
          <w:cantSplit/>
        </w:trPr>
        <w:tc>
          <w:tcPr>
            <w:tcW w:w="2430" w:type="dxa"/>
          </w:tcPr>
          <w:p w14:paraId="6B8DE2CF" w14:textId="31A73D26" w:rsidR="005853B9" w:rsidRDefault="005853B9">
            <w:r>
              <w:t>Program Season</w:t>
            </w:r>
          </w:p>
        </w:tc>
        <w:tc>
          <w:tcPr>
            <w:tcW w:w="6930" w:type="dxa"/>
          </w:tcPr>
          <w:p w14:paraId="3D42FF1C" w14:textId="646BD37B" w:rsidR="005853B9" w:rsidRDefault="00906612">
            <w:r>
              <w:t>May 1 through October 31</w:t>
            </w:r>
            <w:r w:rsidR="009B3E30">
              <w:t>.</w:t>
            </w:r>
          </w:p>
        </w:tc>
      </w:tr>
      <w:tr w:rsidR="009523BD" w:rsidRPr="003F6147" w14:paraId="19A1D366" w14:textId="77777777">
        <w:trPr>
          <w:cantSplit/>
        </w:trPr>
        <w:tc>
          <w:tcPr>
            <w:tcW w:w="2430" w:type="dxa"/>
          </w:tcPr>
          <w:p w14:paraId="325FBF9D" w14:textId="1F5D0543" w:rsidR="009523BD" w:rsidRDefault="009523BD">
            <w:r>
              <w:t>Program Window</w:t>
            </w:r>
          </w:p>
        </w:tc>
        <w:tc>
          <w:tcPr>
            <w:tcW w:w="6930" w:type="dxa"/>
          </w:tcPr>
          <w:p w14:paraId="1E46B531" w14:textId="6E52E03F" w:rsidR="009523BD" w:rsidRDefault="009523BD">
            <w:r>
              <w:t>See Program Hours.</w:t>
            </w:r>
          </w:p>
        </w:tc>
      </w:tr>
      <w:tr w:rsidR="00674AE1" w:rsidRPr="003F6147" w14:paraId="31E1A911" w14:textId="77777777">
        <w:trPr>
          <w:cantSplit/>
        </w:trPr>
        <w:tc>
          <w:tcPr>
            <w:tcW w:w="2430" w:type="dxa"/>
          </w:tcPr>
          <w:p w14:paraId="378CC831" w14:textId="77777777" w:rsidR="00674AE1" w:rsidRPr="003F6147" w:rsidRDefault="00674AE1">
            <w:r w:rsidRPr="003F6147">
              <w:t>Project Manager</w:t>
            </w:r>
          </w:p>
        </w:tc>
        <w:tc>
          <w:tcPr>
            <w:tcW w:w="6930" w:type="dxa"/>
          </w:tcPr>
          <w:p w14:paraId="2EE8BE84" w14:textId="77777777" w:rsidR="00674AE1" w:rsidRPr="003F6147" w:rsidRDefault="00674AE1">
            <w:r w:rsidRPr="003F6147">
              <w:t>The person designated by the applicant to oversee the project and to serve as the main point of contact for the CEC</w:t>
            </w:r>
            <w:r>
              <w:t>.</w:t>
            </w:r>
          </w:p>
        </w:tc>
      </w:tr>
      <w:tr w:rsidR="00674AE1" w:rsidRPr="003F6147" w14:paraId="230E6E04" w14:textId="77777777">
        <w:trPr>
          <w:cantSplit/>
        </w:trPr>
        <w:tc>
          <w:tcPr>
            <w:tcW w:w="2430" w:type="dxa"/>
          </w:tcPr>
          <w:p w14:paraId="391FC638" w14:textId="77777777" w:rsidR="00674AE1" w:rsidRPr="003F6147" w:rsidRDefault="00674AE1">
            <w:r w:rsidRPr="003F6147">
              <w:t>Project Partner</w:t>
            </w:r>
          </w:p>
        </w:tc>
        <w:tc>
          <w:tcPr>
            <w:tcW w:w="6930" w:type="dxa"/>
          </w:tcPr>
          <w:p w14:paraId="13043268" w14:textId="77777777" w:rsidR="00674AE1" w:rsidRPr="003F6147" w:rsidRDefault="00674AE1">
            <w:pPr>
              <w:rPr>
                <w:rFonts w:cs="Times New Roman"/>
              </w:rPr>
            </w:pPr>
            <w:r>
              <w:t xml:space="preserve">A person or entity that contributes financially or otherwise to the project (e.g., match funding, provision of a deployment site), and does not receive CEC funds. </w:t>
            </w:r>
          </w:p>
        </w:tc>
      </w:tr>
      <w:tr w:rsidR="00674AE1" w:rsidRPr="003F6147" w14:paraId="00091DC6" w14:textId="77777777">
        <w:trPr>
          <w:cantSplit/>
        </w:trPr>
        <w:tc>
          <w:tcPr>
            <w:tcW w:w="2430" w:type="dxa"/>
          </w:tcPr>
          <w:p w14:paraId="7B9F45B3" w14:textId="5E29DEB9" w:rsidR="00674AE1" w:rsidRPr="003F6147" w:rsidRDefault="00674AE1">
            <w:r>
              <w:t>R</w:t>
            </w:r>
            <w:r w:rsidR="00B235B4">
              <w:t xml:space="preserve">esource </w:t>
            </w:r>
            <w:r>
              <w:t>A</w:t>
            </w:r>
            <w:r w:rsidR="00B235B4">
              <w:t>dequacy (RA)</w:t>
            </w:r>
          </w:p>
        </w:tc>
        <w:tc>
          <w:tcPr>
            <w:tcW w:w="6930" w:type="dxa"/>
          </w:tcPr>
          <w:p w14:paraId="2841D159" w14:textId="77777777" w:rsidR="00674AE1" w:rsidRPr="00B82763" w:rsidRDefault="00674AE1">
            <w:r w:rsidRPr="00B82763">
              <w:rPr>
                <w:i/>
                <w:iCs/>
              </w:rPr>
              <w:t>Resource Adequacy</w:t>
            </w:r>
            <w:r>
              <w:rPr>
                <w:i/>
                <w:iCs/>
              </w:rPr>
              <w:t xml:space="preserve">, </w:t>
            </w:r>
            <w:r>
              <w:t>a program administered by the CPUC to ensure the reliability of electric service in California and to incentivize the siting and construction of new resources needed for future grid reliability.</w:t>
            </w:r>
          </w:p>
        </w:tc>
      </w:tr>
      <w:tr w:rsidR="00674AE1" w:rsidRPr="003F6147" w14:paraId="2ACBBCCC" w14:textId="77777777">
        <w:trPr>
          <w:cantSplit/>
        </w:trPr>
        <w:tc>
          <w:tcPr>
            <w:tcW w:w="2430" w:type="dxa"/>
          </w:tcPr>
          <w:p w14:paraId="78C7F19E" w14:textId="77777777" w:rsidR="00674AE1" w:rsidRPr="003F6147" w:rsidRDefault="00674AE1">
            <w:r w:rsidRPr="003F6147">
              <w:lastRenderedPageBreak/>
              <w:t>Recipient</w:t>
            </w:r>
          </w:p>
        </w:tc>
        <w:tc>
          <w:tcPr>
            <w:tcW w:w="6930" w:type="dxa"/>
          </w:tcPr>
          <w:p w14:paraId="298D3F8D" w14:textId="77777777" w:rsidR="00674AE1" w:rsidRPr="003F6147" w:rsidRDefault="00674AE1">
            <w:r w:rsidRPr="003F6147">
              <w:t>A</w:t>
            </w:r>
            <w:r>
              <w:t xml:space="preserve"> person or</w:t>
            </w:r>
            <w:r w:rsidRPr="003F6147">
              <w:t xml:space="preserve"> entity receiving a </w:t>
            </w:r>
            <w:r>
              <w:t xml:space="preserve">grant </w:t>
            </w:r>
            <w:r w:rsidRPr="003F6147">
              <w:t>award under this solicitation</w:t>
            </w:r>
            <w:r>
              <w:t xml:space="preserve">. “Recipient” may be used interchangeably with “grant recipient”. </w:t>
            </w:r>
          </w:p>
        </w:tc>
      </w:tr>
      <w:tr w:rsidR="00674AE1" w:rsidRPr="003F6147" w14:paraId="0079F7E3" w14:textId="77777777">
        <w:trPr>
          <w:cantSplit/>
        </w:trPr>
        <w:tc>
          <w:tcPr>
            <w:tcW w:w="2430" w:type="dxa"/>
          </w:tcPr>
          <w:p w14:paraId="651696E7" w14:textId="77777777" w:rsidR="00674AE1" w:rsidRPr="003F6147" w:rsidRDefault="00674AE1">
            <w:r>
              <w:t>SDAC</w:t>
            </w:r>
          </w:p>
        </w:tc>
        <w:tc>
          <w:tcPr>
            <w:tcW w:w="6930" w:type="dxa"/>
          </w:tcPr>
          <w:p w14:paraId="2EA80FFC" w14:textId="7CBD8958" w:rsidR="00674AE1" w:rsidRPr="00B82763" w:rsidRDefault="00674AE1">
            <w:r>
              <w:rPr>
                <w:i/>
                <w:iCs/>
              </w:rPr>
              <w:t>Severely Disadvantaged Community</w:t>
            </w:r>
            <w:r>
              <w:t xml:space="preserve">. Defined in Public Resources Code section 90100 to mean communities designated as those with a median household income of less than 60 percent of the area average or less than 60 percent of statewide median household income, as identified by the </w:t>
            </w:r>
            <w:hyperlink r:id="rId23" w:history="1">
              <w:r w:rsidRPr="00BF6E32">
                <w:rPr>
                  <w:rStyle w:val="Hyperlink"/>
                  <w:rFonts w:cs="Arial"/>
                </w:rPr>
                <w:t>Climate Bond Disadvantaged C</w:t>
              </w:r>
              <w:r w:rsidRPr="00BF6E32">
                <w:rPr>
                  <w:rStyle w:val="Hyperlink"/>
                  <w:rFonts w:cs="Arial"/>
                </w:rPr>
                <w:t>o</w:t>
              </w:r>
              <w:r w:rsidRPr="00BF6E32">
                <w:rPr>
                  <w:rStyle w:val="Hyperlink"/>
                  <w:rFonts w:cs="Arial"/>
                </w:rPr>
                <w:t>mmunities Map</w:t>
              </w:r>
            </w:hyperlink>
            <w:r w:rsidR="00BF6E32">
              <w:t>.</w:t>
            </w:r>
            <w:r>
              <w:t xml:space="preserve"> </w:t>
            </w:r>
          </w:p>
        </w:tc>
      </w:tr>
      <w:tr w:rsidR="00674AE1" w:rsidRPr="003F6147" w14:paraId="247B7EB2" w14:textId="77777777">
        <w:trPr>
          <w:cantSplit/>
        </w:trPr>
        <w:tc>
          <w:tcPr>
            <w:tcW w:w="2430" w:type="dxa"/>
          </w:tcPr>
          <w:p w14:paraId="622781ED" w14:textId="77777777" w:rsidR="00674AE1" w:rsidRPr="003F6147" w:rsidRDefault="00674AE1">
            <w:r w:rsidRPr="003F6147">
              <w:t>Solicitation</w:t>
            </w:r>
          </w:p>
        </w:tc>
        <w:tc>
          <w:tcPr>
            <w:tcW w:w="6930" w:type="dxa"/>
          </w:tcPr>
          <w:p w14:paraId="20B03F5C" w14:textId="77777777" w:rsidR="00674AE1" w:rsidRPr="003F6147" w:rsidRDefault="00674AE1">
            <w:pPr>
              <w:rPr>
                <w:rStyle w:val="ui-provider"/>
              </w:rPr>
            </w:pPr>
            <w:r w:rsidRPr="003F6147">
              <w:t>This entire document, including all attachments, exhibits, addend</w:t>
            </w:r>
            <w:r>
              <w:t>a,</w:t>
            </w:r>
            <w:r w:rsidRPr="003F6147">
              <w:t xml:space="preserve"> written notices, and questions and answers (“solicitation” may be used interchangeably with “Grant Funding Opportunity”</w:t>
            </w:r>
            <w:r>
              <w:t xml:space="preserve"> or “GFO”</w:t>
            </w:r>
            <w:r w:rsidRPr="003F6147">
              <w:t>)</w:t>
            </w:r>
            <w:r>
              <w:t>.</w:t>
            </w:r>
            <w:r w:rsidRPr="003F6147">
              <w:t xml:space="preserve"> </w:t>
            </w:r>
          </w:p>
        </w:tc>
      </w:tr>
      <w:tr w:rsidR="00674AE1" w:rsidRPr="003F6147" w14:paraId="0D988E6F" w14:textId="77777777">
        <w:trPr>
          <w:cantSplit/>
        </w:trPr>
        <w:tc>
          <w:tcPr>
            <w:tcW w:w="2430" w:type="dxa"/>
          </w:tcPr>
          <w:p w14:paraId="30B83713" w14:textId="77777777" w:rsidR="00674AE1" w:rsidRPr="003F6147" w:rsidRDefault="00674AE1">
            <w:r w:rsidRPr="00CA3BD2">
              <w:t xml:space="preserve">Subrecipient  </w:t>
            </w:r>
          </w:p>
        </w:tc>
        <w:tc>
          <w:tcPr>
            <w:tcW w:w="6930" w:type="dxa"/>
          </w:tcPr>
          <w:p w14:paraId="2625A786" w14:textId="77777777" w:rsidR="00674AE1" w:rsidRPr="003F6147" w:rsidRDefault="00674AE1">
            <w:r w:rsidRPr="00CA3BD2">
              <w:t>A person or entity that receives grant funds directly from a grant Recipient and is entrusted to make decisions about how to conduct some of the grant’s activities. A Subrecipient’s role involves discretion over grant activities and is not merely just selling goods or services.</w:t>
            </w:r>
          </w:p>
        </w:tc>
      </w:tr>
      <w:tr w:rsidR="00674AE1" w:rsidRPr="003F6147" w14:paraId="2E98C531" w14:textId="77777777">
        <w:trPr>
          <w:cantSplit/>
        </w:trPr>
        <w:tc>
          <w:tcPr>
            <w:tcW w:w="2430" w:type="dxa"/>
          </w:tcPr>
          <w:p w14:paraId="309CE821" w14:textId="77777777" w:rsidR="00674AE1" w:rsidRPr="003F6147" w:rsidRDefault="00674AE1">
            <w:r w:rsidRPr="00CA3BD2">
              <w:t>Sub-Subrecipient</w:t>
            </w:r>
            <w:r>
              <w:t>/sub-contractor</w:t>
            </w:r>
          </w:p>
        </w:tc>
        <w:tc>
          <w:tcPr>
            <w:tcW w:w="6930" w:type="dxa"/>
          </w:tcPr>
          <w:p w14:paraId="0E820F7C" w14:textId="77777777" w:rsidR="00674AE1" w:rsidRPr="003F6147" w:rsidRDefault="00674AE1">
            <w:r w:rsidRPr="00CA3BD2">
              <w:t>Has the same meaning as a Subrecipient except that it receives grant funds from a Subrecipient or any lower tier level of a Sub-Subrecipient</w:t>
            </w:r>
            <w:r>
              <w:t>/sub-contractor</w:t>
            </w:r>
            <w:r w:rsidRPr="00CA3BD2">
              <w:t>.</w:t>
            </w:r>
          </w:p>
        </w:tc>
      </w:tr>
      <w:tr w:rsidR="00674AE1" w:rsidRPr="003F6147" w14:paraId="128FFF61" w14:textId="77777777">
        <w:trPr>
          <w:cantSplit/>
        </w:trPr>
        <w:tc>
          <w:tcPr>
            <w:tcW w:w="2430" w:type="dxa"/>
          </w:tcPr>
          <w:p w14:paraId="35D1A4AB" w14:textId="77777777" w:rsidR="00674AE1" w:rsidRPr="003F6147" w:rsidRDefault="00674AE1">
            <w:r w:rsidRPr="003F6147">
              <w:t>State</w:t>
            </w:r>
          </w:p>
        </w:tc>
        <w:tc>
          <w:tcPr>
            <w:tcW w:w="6930" w:type="dxa"/>
          </w:tcPr>
          <w:p w14:paraId="46A712FB" w14:textId="77777777" w:rsidR="00674AE1" w:rsidRPr="003F6147" w:rsidRDefault="00674AE1">
            <w:r w:rsidRPr="003F6147">
              <w:t>State of California</w:t>
            </w:r>
          </w:p>
        </w:tc>
      </w:tr>
      <w:tr w:rsidR="00674AE1" w14:paraId="0B2D0C43" w14:textId="77777777">
        <w:trPr>
          <w:cantSplit/>
          <w:trHeight w:val="300"/>
        </w:trPr>
        <w:tc>
          <w:tcPr>
            <w:tcW w:w="2430" w:type="dxa"/>
          </w:tcPr>
          <w:p w14:paraId="3944D7B3" w14:textId="77777777" w:rsidR="00674AE1" w:rsidRDefault="00674AE1">
            <w:r>
              <w:t>Tribe</w:t>
            </w:r>
          </w:p>
        </w:tc>
        <w:tc>
          <w:tcPr>
            <w:tcW w:w="6930" w:type="dxa"/>
          </w:tcPr>
          <w:p w14:paraId="2113AEFE" w14:textId="77777777" w:rsidR="00674AE1" w:rsidRDefault="00674AE1">
            <w:r>
              <w:t xml:space="preserve">Defined in Public Resources Code section 90100 to mean a federally recognized Native American tribe or a </w:t>
            </w:r>
            <w:proofErr w:type="spellStart"/>
            <w:r>
              <w:t>nonfederally</w:t>
            </w:r>
            <w:proofErr w:type="spellEnd"/>
            <w:r>
              <w:t xml:space="preserve"> recognized Native American tribe listed on the California Tribal Consultation List maintained by the Native American Heritage Commission.</w:t>
            </w:r>
          </w:p>
        </w:tc>
      </w:tr>
      <w:tr w:rsidR="00674AE1" w:rsidRPr="003F6147" w14:paraId="390D7E6F" w14:textId="77777777">
        <w:trPr>
          <w:cantSplit/>
        </w:trPr>
        <w:tc>
          <w:tcPr>
            <w:tcW w:w="2430" w:type="dxa"/>
          </w:tcPr>
          <w:p w14:paraId="5A3C0C7A" w14:textId="77777777" w:rsidR="00674AE1" w:rsidRPr="003F6147" w:rsidRDefault="00674AE1">
            <w:r w:rsidRPr="004C0743">
              <w:t>Vendor</w:t>
            </w:r>
          </w:p>
        </w:tc>
        <w:tc>
          <w:tcPr>
            <w:tcW w:w="6930" w:type="dxa"/>
          </w:tcPr>
          <w:p w14:paraId="4CB78F9E" w14:textId="77777777" w:rsidR="00674AE1" w:rsidRPr="003F6147" w:rsidRDefault="00674AE1">
            <w:r w:rsidRPr="001A0434">
              <w:t>A person or entity that sells goods or services to the grant Recipient, Subrecipient, or any lower-tiered level of Sub-Subrecipient, in exchange for some of the grant funds, and does not make decisions about how to perform the grant’s activities. The Vendor’s role is ministerial and does not involve discretion over grant activities.</w:t>
            </w:r>
          </w:p>
        </w:tc>
      </w:tr>
      <w:tr w:rsidR="00674AE1" w:rsidRPr="003F6147" w14:paraId="4FE8D225" w14:textId="77777777">
        <w:trPr>
          <w:cantSplit/>
        </w:trPr>
        <w:tc>
          <w:tcPr>
            <w:tcW w:w="2430" w:type="dxa"/>
          </w:tcPr>
          <w:p w14:paraId="55B84097" w14:textId="77777777" w:rsidR="00674AE1" w:rsidRPr="004C0743" w:rsidRDefault="00674AE1">
            <w:r>
              <w:lastRenderedPageBreak/>
              <w:t>Vulnerable Population</w:t>
            </w:r>
          </w:p>
        </w:tc>
        <w:tc>
          <w:tcPr>
            <w:tcW w:w="6930" w:type="dxa"/>
          </w:tcPr>
          <w:p w14:paraId="1892B9A6" w14:textId="77777777" w:rsidR="00674AE1" w:rsidRPr="001A0434" w:rsidRDefault="00674AE1">
            <w:r>
              <w:t>Defined in Public Resources Code section 90100 to mean a subgroup of population within a region or community that faces a disproportionately heightened risk or increased sensitivity to impacts of climate change and that lacks adequate resources to cope with, adapt to, or recover from such impacts.</w:t>
            </w:r>
          </w:p>
        </w:tc>
      </w:tr>
    </w:tbl>
    <w:p w14:paraId="31D2C22A" w14:textId="77777777" w:rsidR="00674AE1" w:rsidRPr="00B8513F" w:rsidRDefault="00674AE1" w:rsidP="00674AE1"/>
    <w:p w14:paraId="7D6F8E3C" w14:textId="03B36E44" w:rsidR="00674AE1" w:rsidRPr="00756BAC" w:rsidRDefault="00674AE1" w:rsidP="00B6721C">
      <w:pPr>
        <w:pStyle w:val="Heading3"/>
        <w:ind w:left="0"/>
      </w:pPr>
      <w:bookmarkStart w:id="88" w:name="_Toc458602320"/>
      <w:bookmarkStart w:id="89" w:name="_Toc177403880"/>
      <w:bookmarkStart w:id="90" w:name="_Toc243558501"/>
      <w:r w:rsidRPr="00756BAC">
        <w:t xml:space="preserve">Key Activities </w:t>
      </w:r>
      <w:r>
        <w:t>and Dates</w:t>
      </w:r>
      <w:bookmarkEnd w:id="90"/>
    </w:p>
    <w:p w14:paraId="3BB090DA" w14:textId="77777777" w:rsidR="00674AE1" w:rsidRDefault="00674AE1" w:rsidP="00674AE1">
      <w:pPr>
        <w:rPr>
          <w:b/>
        </w:rPr>
      </w:pPr>
      <w:r>
        <w:t>Table 2 lists anticipated k</w:t>
      </w:r>
      <w:r w:rsidRPr="003F6147">
        <w:t xml:space="preserve">ey activities, dates, and times for </w:t>
      </w:r>
      <w:r>
        <w:t>the draft and final</w:t>
      </w:r>
      <w:r w:rsidRPr="003F6147">
        <w:t xml:space="preserve"> solicitation and for agreements resulting from this solicitation. </w:t>
      </w:r>
      <w:r>
        <w:t xml:space="preserve">Dates are approximate and subject to change. </w:t>
      </w:r>
    </w:p>
    <w:p w14:paraId="7FB1DB2D" w14:textId="77777777" w:rsidR="00674AE1" w:rsidRPr="00113788" w:rsidRDefault="00674AE1" w:rsidP="00674AE1">
      <w:pPr>
        <w:pStyle w:val="TableTitle"/>
        <w:rPr>
          <w:i/>
          <w:iCs/>
          <w:color w:val="0070C0"/>
        </w:rPr>
      </w:pPr>
      <w:bookmarkStart w:id="91" w:name="_Toc243558586"/>
      <w:r>
        <w:t>Table 2: Key Activities and Dates</w:t>
      </w:r>
      <w:bookmarkEnd w:id="91"/>
    </w:p>
    <w:tbl>
      <w:tblPr>
        <w:tblStyle w:val="ListTable321"/>
        <w:tblW w:w="981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125"/>
        <w:gridCol w:w="2885"/>
        <w:gridCol w:w="1800"/>
      </w:tblGrid>
      <w:tr w:rsidR="00674AE1" w:rsidRPr="008D6D7B" w14:paraId="0A5ED64F" w14:textId="77777777">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125" w:type="dxa"/>
            <w:tcBorders>
              <w:left w:val="none" w:sz="0" w:space="0" w:color="auto"/>
              <w:right w:val="none" w:sz="0" w:space="0" w:color="auto"/>
            </w:tcBorders>
            <w:shd w:val="clear" w:color="auto" w:fill="BFBFBF" w:themeFill="background1" w:themeFillShade="BF"/>
          </w:tcPr>
          <w:p w14:paraId="65324156" w14:textId="77777777" w:rsidR="00674AE1" w:rsidRPr="008D6D7B" w:rsidRDefault="00674AE1">
            <w:pPr>
              <w:rPr>
                <w:sz w:val="24"/>
                <w:szCs w:val="24"/>
              </w:rPr>
            </w:pPr>
            <w:bookmarkStart w:id="92" w:name="_Hlk216360219"/>
            <w:r w:rsidRPr="008D6D7B">
              <w:rPr>
                <w:sz w:val="24"/>
                <w:szCs w:val="24"/>
              </w:rPr>
              <w:t>ACTIVITY</w:t>
            </w:r>
          </w:p>
        </w:tc>
        <w:tc>
          <w:tcPr>
            <w:tcW w:w="2885" w:type="dxa"/>
            <w:shd w:val="clear" w:color="auto" w:fill="BFBFBF" w:themeFill="background1" w:themeFillShade="BF"/>
          </w:tcPr>
          <w:p w14:paraId="540160F9" w14:textId="77777777" w:rsidR="00674AE1" w:rsidRPr="008D6D7B" w:rsidRDefault="00674AE1">
            <w:pPr>
              <w:cnfStyle w:val="100000000000" w:firstRow="1" w:lastRow="0" w:firstColumn="0" w:lastColumn="0" w:oddVBand="0" w:evenVBand="0" w:oddHBand="0" w:evenHBand="0" w:firstRowFirstColumn="0" w:firstRowLastColumn="0" w:lastRowFirstColumn="0" w:lastRowLastColumn="0"/>
              <w:rPr>
                <w:sz w:val="24"/>
                <w:szCs w:val="24"/>
              </w:rPr>
            </w:pPr>
            <w:r w:rsidRPr="008D6D7B">
              <w:rPr>
                <w:sz w:val="24"/>
                <w:szCs w:val="24"/>
              </w:rPr>
              <w:t>DATE</w:t>
            </w:r>
          </w:p>
        </w:tc>
        <w:tc>
          <w:tcPr>
            <w:cnfStyle w:val="000010000000" w:firstRow="0" w:lastRow="0" w:firstColumn="0" w:lastColumn="0" w:oddVBand="1" w:evenVBand="0" w:oddHBand="0" w:evenHBand="0" w:firstRowFirstColumn="0" w:firstRowLastColumn="0" w:lastRowFirstColumn="0" w:lastRowLastColumn="0"/>
            <w:tcW w:w="1800" w:type="dxa"/>
            <w:tcBorders>
              <w:left w:val="none" w:sz="0" w:space="0" w:color="auto"/>
              <w:right w:val="none" w:sz="0" w:space="0" w:color="auto"/>
            </w:tcBorders>
            <w:shd w:val="clear" w:color="auto" w:fill="BFBFBF" w:themeFill="background1" w:themeFillShade="BF"/>
          </w:tcPr>
          <w:p w14:paraId="53F21D67" w14:textId="77777777" w:rsidR="00674AE1" w:rsidRPr="008D6D7B" w:rsidDel="00D53B51" w:rsidRDefault="00674AE1">
            <w:pPr>
              <w:rPr>
                <w:sz w:val="24"/>
                <w:szCs w:val="24"/>
              </w:rPr>
            </w:pPr>
            <w:r w:rsidRPr="008D6D7B">
              <w:rPr>
                <w:sz w:val="24"/>
                <w:szCs w:val="24"/>
              </w:rPr>
              <w:t>TIME</w:t>
            </w:r>
            <w:r w:rsidRPr="008D6D7B">
              <w:rPr>
                <w:rStyle w:val="FootnoteReference"/>
                <w:sz w:val="24"/>
                <w:szCs w:val="24"/>
              </w:rPr>
              <w:footnoteReference w:id="2"/>
            </w:r>
          </w:p>
        </w:tc>
      </w:tr>
      <w:tr w:rsidR="00674AE1" w:rsidRPr="008D6D7B" w14:paraId="1A6BBAFA" w14:textId="77777777" w:rsidTr="00A9257A">
        <w:trPr>
          <w:trHeight w:hRule="exact" w:val="460"/>
        </w:trPr>
        <w:tc>
          <w:tcPr>
            <w:cnfStyle w:val="000010000000" w:firstRow="0" w:lastRow="0" w:firstColumn="0" w:lastColumn="0" w:oddVBand="1" w:evenVBand="0" w:oddHBand="0" w:evenHBand="0" w:firstRowFirstColumn="0" w:firstRowLastColumn="0" w:lastRowFirstColumn="0" w:lastRowLastColumn="0"/>
            <w:tcW w:w="5125" w:type="dxa"/>
          </w:tcPr>
          <w:p w14:paraId="10430B6E" w14:textId="5118FE83" w:rsidR="00674AE1" w:rsidRPr="008D6D7B" w:rsidRDefault="00674AE1">
            <w:pPr>
              <w:rPr>
                <w:sz w:val="24"/>
                <w:szCs w:val="24"/>
              </w:rPr>
            </w:pPr>
            <w:r w:rsidRPr="008D6D7B">
              <w:rPr>
                <w:sz w:val="24"/>
                <w:szCs w:val="24"/>
              </w:rPr>
              <w:t>Solicitation Release</w:t>
            </w:r>
          </w:p>
        </w:tc>
        <w:tc>
          <w:tcPr>
            <w:tcW w:w="2885" w:type="dxa"/>
          </w:tcPr>
          <w:p w14:paraId="771A4031" w14:textId="02FE8FB6" w:rsidR="00674AE1" w:rsidRPr="008D6D7B" w:rsidRDefault="003F563F">
            <w:pPr>
              <w:cnfStyle w:val="000000000000" w:firstRow="0" w:lastRow="0" w:firstColumn="0" w:lastColumn="0" w:oddVBand="0" w:evenVBand="0" w:oddHBand="0" w:evenHBand="0" w:firstRowFirstColumn="0" w:firstRowLastColumn="0" w:lastRowFirstColumn="0" w:lastRowLastColumn="0"/>
              <w:rPr>
                <w:sz w:val="24"/>
                <w:szCs w:val="24"/>
              </w:rPr>
            </w:pPr>
            <w:r w:rsidRPr="00A30A73">
              <w:rPr>
                <w:sz w:val="24"/>
                <w:szCs w:val="24"/>
              </w:rPr>
              <w:t xml:space="preserve">October </w:t>
            </w:r>
            <w:r w:rsidR="00947CC6">
              <w:rPr>
                <w:sz w:val="24"/>
                <w:szCs w:val="24"/>
              </w:rPr>
              <w:t>23</w:t>
            </w:r>
            <w:r w:rsidRPr="00A30A73">
              <w:rPr>
                <w:sz w:val="24"/>
                <w:szCs w:val="24"/>
              </w:rPr>
              <w:t>, 2026</w:t>
            </w:r>
          </w:p>
        </w:tc>
        <w:tc>
          <w:tcPr>
            <w:cnfStyle w:val="000010000000" w:firstRow="0" w:lastRow="0" w:firstColumn="0" w:lastColumn="0" w:oddVBand="1" w:evenVBand="0" w:oddHBand="0" w:evenHBand="0" w:firstRowFirstColumn="0" w:firstRowLastColumn="0" w:lastRowFirstColumn="0" w:lastRowLastColumn="0"/>
            <w:tcW w:w="1800" w:type="dxa"/>
          </w:tcPr>
          <w:p w14:paraId="451D91B6" w14:textId="77777777" w:rsidR="00674AE1" w:rsidRPr="008D6D7B" w:rsidRDefault="00674AE1">
            <w:pPr>
              <w:rPr>
                <w:sz w:val="24"/>
                <w:szCs w:val="24"/>
              </w:rPr>
            </w:pPr>
          </w:p>
        </w:tc>
      </w:tr>
      <w:tr w:rsidR="00674AE1" w:rsidRPr="008D6D7B" w14:paraId="6C234D28" w14:textId="77777777" w:rsidTr="00A9257A">
        <w:trPr>
          <w:trHeight w:hRule="exact" w:val="703"/>
        </w:trPr>
        <w:tc>
          <w:tcPr>
            <w:cnfStyle w:val="000010000000" w:firstRow="0" w:lastRow="0" w:firstColumn="0" w:lastColumn="0" w:oddVBand="1" w:evenVBand="0" w:oddHBand="0" w:evenHBand="0" w:firstRowFirstColumn="0" w:firstRowLastColumn="0" w:lastRowFirstColumn="0" w:lastRowLastColumn="0"/>
            <w:tcW w:w="5125" w:type="dxa"/>
          </w:tcPr>
          <w:p w14:paraId="31F0C3B7" w14:textId="77777777" w:rsidR="00674AE1" w:rsidRPr="00A30A73" w:rsidRDefault="00674AE1">
            <w:pPr>
              <w:rPr>
                <w:b/>
                <w:bCs/>
                <w:sz w:val="24"/>
                <w:szCs w:val="24"/>
              </w:rPr>
            </w:pPr>
            <w:r w:rsidRPr="00A30A73">
              <w:rPr>
                <w:b/>
                <w:bCs/>
                <w:sz w:val="24"/>
                <w:szCs w:val="24"/>
              </w:rPr>
              <w:t>Pre-Application Workshop</w:t>
            </w:r>
          </w:p>
        </w:tc>
        <w:tc>
          <w:tcPr>
            <w:tcW w:w="2885" w:type="dxa"/>
          </w:tcPr>
          <w:p w14:paraId="7C911479" w14:textId="73FE0C62" w:rsidR="00674AE1" w:rsidRPr="00A30A73" w:rsidRDefault="007270F0">
            <w:pPr>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CD26FB">
              <w:rPr>
                <w:b/>
                <w:sz w:val="24"/>
                <w:szCs w:val="24"/>
              </w:rPr>
              <w:t>November</w:t>
            </w:r>
            <w:r w:rsidR="00422380" w:rsidRPr="00CD26FB">
              <w:rPr>
                <w:b/>
                <w:sz w:val="24"/>
                <w:szCs w:val="24"/>
              </w:rPr>
              <w:t xml:space="preserve"> </w:t>
            </w:r>
            <w:r w:rsidR="0038428C" w:rsidRPr="00CD26FB">
              <w:rPr>
                <w:b/>
                <w:sz w:val="24"/>
                <w:szCs w:val="24"/>
              </w:rPr>
              <w:t>5</w:t>
            </w:r>
            <w:r w:rsidR="00422380" w:rsidRPr="00CD26FB">
              <w:rPr>
                <w:b/>
                <w:sz w:val="24"/>
                <w:szCs w:val="24"/>
              </w:rPr>
              <w:t>, 2026</w:t>
            </w:r>
          </w:p>
        </w:tc>
        <w:tc>
          <w:tcPr>
            <w:cnfStyle w:val="000010000000" w:firstRow="0" w:lastRow="0" w:firstColumn="0" w:lastColumn="0" w:oddVBand="1" w:evenVBand="0" w:oddHBand="0" w:evenHBand="0" w:firstRowFirstColumn="0" w:firstRowLastColumn="0" w:lastRowFirstColumn="0" w:lastRowLastColumn="0"/>
            <w:tcW w:w="1800" w:type="dxa"/>
          </w:tcPr>
          <w:p w14:paraId="64CB73B8" w14:textId="75958B55" w:rsidR="00674AE1" w:rsidRPr="00A30A73" w:rsidRDefault="00CD26FB">
            <w:pPr>
              <w:rPr>
                <w:b/>
                <w:bCs/>
                <w:sz w:val="24"/>
                <w:szCs w:val="24"/>
              </w:rPr>
            </w:pPr>
            <w:r>
              <w:rPr>
                <w:b/>
                <w:bCs/>
                <w:sz w:val="24"/>
                <w:szCs w:val="24"/>
              </w:rPr>
              <w:t>1</w:t>
            </w:r>
            <w:r w:rsidR="00422380" w:rsidRPr="00A30A73">
              <w:rPr>
                <w:b/>
                <w:bCs/>
                <w:sz w:val="24"/>
                <w:szCs w:val="24"/>
              </w:rPr>
              <w:t xml:space="preserve">:00 </w:t>
            </w:r>
            <w:r>
              <w:rPr>
                <w:b/>
                <w:bCs/>
                <w:sz w:val="24"/>
                <w:szCs w:val="24"/>
              </w:rPr>
              <w:t>p</w:t>
            </w:r>
            <w:r w:rsidR="00422380" w:rsidRPr="00A30A73">
              <w:rPr>
                <w:b/>
                <w:bCs/>
                <w:sz w:val="24"/>
                <w:szCs w:val="24"/>
              </w:rPr>
              <w:t xml:space="preserve">.m. </w:t>
            </w:r>
          </w:p>
        </w:tc>
      </w:tr>
      <w:tr w:rsidR="00012EA8" w:rsidRPr="008D6D7B" w14:paraId="2A96563D" w14:textId="77777777" w:rsidTr="00A9257A">
        <w:trPr>
          <w:trHeight w:hRule="exact" w:val="703"/>
        </w:trPr>
        <w:tc>
          <w:tcPr>
            <w:cnfStyle w:val="000010000000" w:firstRow="0" w:lastRow="0" w:firstColumn="0" w:lastColumn="0" w:oddVBand="1" w:evenVBand="0" w:oddHBand="0" w:evenHBand="0" w:firstRowFirstColumn="0" w:firstRowLastColumn="0" w:lastRowFirstColumn="0" w:lastRowLastColumn="0"/>
            <w:tcW w:w="5125" w:type="dxa"/>
          </w:tcPr>
          <w:p w14:paraId="11FFA12E" w14:textId="5DC1A10E" w:rsidR="00012EA8" w:rsidRPr="00A30A73" w:rsidRDefault="00012EA8">
            <w:pPr>
              <w:rPr>
                <w:b/>
                <w:bCs/>
                <w:szCs w:val="24"/>
              </w:rPr>
            </w:pPr>
            <w:r w:rsidRPr="00A30A73">
              <w:rPr>
                <w:b/>
                <w:bCs/>
                <w:sz w:val="24"/>
                <w:szCs w:val="24"/>
              </w:rPr>
              <w:t>Deadline for Written Questions</w:t>
            </w:r>
            <w:r w:rsidRPr="00A30A73">
              <w:rPr>
                <w:rStyle w:val="FootnoteReference"/>
                <w:b/>
                <w:bCs/>
                <w:sz w:val="24"/>
                <w:szCs w:val="24"/>
              </w:rPr>
              <w:footnoteReference w:id="3"/>
            </w:r>
          </w:p>
        </w:tc>
        <w:tc>
          <w:tcPr>
            <w:tcW w:w="2885" w:type="dxa"/>
          </w:tcPr>
          <w:p w14:paraId="16D71A36" w14:textId="742DF77F" w:rsidR="00012EA8" w:rsidRPr="00CD26FB" w:rsidRDefault="001552C3">
            <w:pPr>
              <w:cnfStyle w:val="000000000000" w:firstRow="0" w:lastRow="0" w:firstColumn="0" w:lastColumn="0" w:oddVBand="0" w:evenVBand="0" w:oddHBand="0" w:evenHBand="0" w:firstRowFirstColumn="0" w:firstRowLastColumn="0" w:lastRowFirstColumn="0" w:lastRowLastColumn="0"/>
              <w:rPr>
                <w:b/>
                <w:sz w:val="24"/>
                <w:szCs w:val="24"/>
              </w:rPr>
            </w:pPr>
            <w:r w:rsidRPr="00CD26FB">
              <w:rPr>
                <w:b/>
                <w:sz w:val="24"/>
                <w:szCs w:val="24"/>
              </w:rPr>
              <w:t xml:space="preserve">November </w:t>
            </w:r>
            <w:r w:rsidR="00860D95" w:rsidRPr="00CD26FB">
              <w:rPr>
                <w:b/>
                <w:sz w:val="24"/>
                <w:szCs w:val="24"/>
              </w:rPr>
              <w:t>1</w:t>
            </w:r>
            <w:r w:rsidR="0038428C" w:rsidRPr="00CD26FB">
              <w:rPr>
                <w:b/>
                <w:sz w:val="24"/>
                <w:szCs w:val="24"/>
              </w:rPr>
              <w:t>3</w:t>
            </w:r>
            <w:r w:rsidR="00A30A73" w:rsidRPr="00CD26FB">
              <w:rPr>
                <w:b/>
                <w:sz w:val="24"/>
                <w:szCs w:val="24"/>
              </w:rPr>
              <w:t>, 2026</w:t>
            </w:r>
          </w:p>
        </w:tc>
        <w:tc>
          <w:tcPr>
            <w:cnfStyle w:val="000010000000" w:firstRow="0" w:lastRow="0" w:firstColumn="0" w:lastColumn="0" w:oddVBand="1" w:evenVBand="0" w:oddHBand="0" w:evenHBand="0" w:firstRowFirstColumn="0" w:firstRowLastColumn="0" w:lastRowFirstColumn="0" w:lastRowLastColumn="0"/>
            <w:tcW w:w="1800" w:type="dxa"/>
          </w:tcPr>
          <w:p w14:paraId="55153B72" w14:textId="2BEF1AC9" w:rsidR="00012EA8" w:rsidRPr="00A30A73" w:rsidRDefault="00A30A73">
            <w:pPr>
              <w:rPr>
                <w:b/>
                <w:bCs/>
                <w:sz w:val="24"/>
                <w:szCs w:val="24"/>
              </w:rPr>
            </w:pPr>
            <w:r w:rsidRPr="00A30A73">
              <w:rPr>
                <w:b/>
                <w:bCs/>
                <w:sz w:val="24"/>
                <w:szCs w:val="24"/>
              </w:rPr>
              <w:t>5:00 p.m.</w:t>
            </w:r>
          </w:p>
        </w:tc>
      </w:tr>
      <w:tr w:rsidR="00012EA8" w:rsidRPr="008D6D7B" w14:paraId="36D10550" w14:textId="77777777" w:rsidTr="00A9257A">
        <w:trPr>
          <w:trHeight w:hRule="exact" w:val="703"/>
        </w:trPr>
        <w:tc>
          <w:tcPr>
            <w:cnfStyle w:val="000010000000" w:firstRow="0" w:lastRow="0" w:firstColumn="0" w:lastColumn="0" w:oddVBand="1" w:evenVBand="0" w:oddHBand="0" w:evenHBand="0" w:firstRowFirstColumn="0" w:firstRowLastColumn="0" w:lastRowFirstColumn="0" w:lastRowLastColumn="0"/>
            <w:tcW w:w="5125" w:type="dxa"/>
          </w:tcPr>
          <w:p w14:paraId="4919B9AB" w14:textId="0623E93F" w:rsidR="00012EA8" w:rsidRPr="008D6D7B" w:rsidRDefault="005E73FA">
            <w:pPr>
              <w:rPr>
                <w:szCs w:val="24"/>
              </w:rPr>
            </w:pPr>
            <w:r w:rsidRPr="005E73FA">
              <w:rPr>
                <w:sz w:val="24"/>
                <w:szCs w:val="24"/>
              </w:rPr>
              <w:t>Anticipated Distribution of Questions and Answers</w:t>
            </w:r>
          </w:p>
        </w:tc>
        <w:tc>
          <w:tcPr>
            <w:tcW w:w="2885" w:type="dxa"/>
          </w:tcPr>
          <w:p w14:paraId="7AF4BFE4" w14:textId="36D21345" w:rsidR="00012EA8" w:rsidRPr="00CD26FB" w:rsidRDefault="004719CA">
            <w:pPr>
              <w:cnfStyle w:val="000000000000" w:firstRow="0" w:lastRow="0" w:firstColumn="0" w:lastColumn="0" w:oddVBand="0" w:evenVBand="0" w:oddHBand="0" w:evenHBand="0" w:firstRowFirstColumn="0" w:firstRowLastColumn="0" w:lastRowFirstColumn="0" w:lastRowLastColumn="0"/>
              <w:rPr>
                <w:sz w:val="24"/>
                <w:szCs w:val="24"/>
              </w:rPr>
            </w:pPr>
            <w:r w:rsidRPr="00CD26FB">
              <w:rPr>
                <w:sz w:val="24"/>
                <w:szCs w:val="24"/>
              </w:rPr>
              <w:t xml:space="preserve">Week of </w:t>
            </w:r>
            <w:r w:rsidR="001552C3" w:rsidRPr="00CD26FB">
              <w:rPr>
                <w:sz w:val="24"/>
                <w:szCs w:val="24"/>
              </w:rPr>
              <w:t xml:space="preserve">December </w:t>
            </w:r>
            <w:r w:rsidR="00C41911" w:rsidRPr="00CD26FB">
              <w:rPr>
                <w:sz w:val="24"/>
                <w:szCs w:val="24"/>
              </w:rPr>
              <w:t>14</w:t>
            </w:r>
            <w:r w:rsidR="00E86D4A" w:rsidRPr="00CD26FB">
              <w:rPr>
                <w:sz w:val="24"/>
                <w:szCs w:val="24"/>
              </w:rPr>
              <w:t>, 2026</w:t>
            </w:r>
          </w:p>
        </w:tc>
        <w:tc>
          <w:tcPr>
            <w:cnfStyle w:val="000010000000" w:firstRow="0" w:lastRow="0" w:firstColumn="0" w:lastColumn="0" w:oddVBand="1" w:evenVBand="0" w:oddHBand="0" w:evenHBand="0" w:firstRowFirstColumn="0" w:firstRowLastColumn="0" w:lastRowFirstColumn="0" w:lastRowLastColumn="0"/>
            <w:tcW w:w="1800" w:type="dxa"/>
          </w:tcPr>
          <w:p w14:paraId="1A7287D0" w14:textId="77777777" w:rsidR="00012EA8" w:rsidRDefault="00012EA8">
            <w:pPr>
              <w:rPr>
                <w:szCs w:val="24"/>
              </w:rPr>
            </w:pPr>
          </w:p>
        </w:tc>
      </w:tr>
      <w:tr w:rsidR="00E86D4A" w:rsidRPr="008D6D7B" w14:paraId="0DA6C7A2" w14:textId="77777777" w:rsidTr="00A9257A">
        <w:trPr>
          <w:trHeight w:hRule="exact" w:val="703"/>
        </w:trPr>
        <w:tc>
          <w:tcPr>
            <w:cnfStyle w:val="000010000000" w:firstRow="0" w:lastRow="0" w:firstColumn="0" w:lastColumn="0" w:oddVBand="1" w:evenVBand="0" w:oddHBand="0" w:evenHBand="0" w:firstRowFirstColumn="0" w:firstRowLastColumn="0" w:lastRowFirstColumn="0" w:lastRowLastColumn="0"/>
            <w:tcW w:w="5125" w:type="dxa"/>
          </w:tcPr>
          <w:p w14:paraId="2B6174D6" w14:textId="2B622BFE" w:rsidR="00E86D4A" w:rsidRPr="00E86D4A" w:rsidRDefault="00E86D4A">
            <w:pPr>
              <w:rPr>
                <w:sz w:val="24"/>
                <w:szCs w:val="24"/>
              </w:rPr>
            </w:pPr>
            <w:r w:rsidRPr="00E86D4A">
              <w:rPr>
                <w:sz w:val="24"/>
                <w:szCs w:val="24"/>
              </w:rPr>
              <w:t>Support for Application Submission in ECAMS</w:t>
            </w:r>
          </w:p>
        </w:tc>
        <w:tc>
          <w:tcPr>
            <w:tcW w:w="2885" w:type="dxa"/>
          </w:tcPr>
          <w:p w14:paraId="54CBF2F5" w14:textId="136B04F0" w:rsidR="00E86D4A" w:rsidRPr="00E86D4A" w:rsidRDefault="001552C3">
            <w:pPr>
              <w:cnfStyle w:val="000000000000" w:firstRow="0" w:lastRow="0" w:firstColumn="0" w:lastColumn="0" w:oddVBand="0" w:evenVBand="0" w:oddHBand="0" w:evenHBand="0" w:firstRowFirstColumn="0" w:firstRowLastColumn="0" w:lastRowFirstColumn="0" w:lastRowLastColumn="0"/>
              <w:rPr>
                <w:szCs w:val="24"/>
              </w:rPr>
            </w:pPr>
            <w:r>
              <w:rPr>
                <w:sz w:val="24"/>
                <w:szCs w:val="24"/>
              </w:rPr>
              <w:t>January 2</w:t>
            </w:r>
            <w:r w:rsidR="00AE34B1">
              <w:rPr>
                <w:sz w:val="24"/>
                <w:szCs w:val="24"/>
              </w:rPr>
              <w:t>6</w:t>
            </w:r>
            <w:r w:rsidR="00022D45">
              <w:rPr>
                <w:sz w:val="24"/>
                <w:szCs w:val="24"/>
              </w:rPr>
              <w:t xml:space="preserve">, </w:t>
            </w:r>
            <w:r>
              <w:rPr>
                <w:sz w:val="24"/>
                <w:szCs w:val="24"/>
              </w:rPr>
              <w:t>2027</w:t>
            </w:r>
          </w:p>
        </w:tc>
        <w:tc>
          <w:tcPr>
            <w:cnfStyle w:val="000010000000" w:firstRow="0" w:lastRow="0" w:firstColumn="0" w:lastColumn="0" w:oddVBand="1" w:evenVBand="0" w:oddHBand="0" w:evenHBand="0" w:firstRowFirstColumn="0" w:firstRowLastColumn="0" w:lastRowFirstColumn="0" w:lastRowLastColumn="0"/>
            <w:tcW w:w="1800" w:type="dxa"/>
          </w:tcPr>
          <w:p w14:paraId="2F348A34" w14:textId="25756F16" w:rsidR="00E86D4A" w:rsidRPr="00022D45" w:rsidRDefault="00022D45">
            <w:pPr>
              <w:rPr>
                <w:sz w:val="24"/>
                <w:szCs w:val="24"/>
              </w:rPr>
            </w:pPr>
            <w:r w:rsidRPr="00022D45">
              <w:rPr>
                <w:sz w:val="24"/>
                <w:szCs w:val="24"/>
              </w:rPr>
              <w:t>5:00 p.m.</w:t>
            </w:r>
          </w:p>
        </w:tc>
      </w:tr>
      <w:tr w:rsidR="00674AE1" w:rsidRPr="008D6D7B" w14:paraId="7267C6CE" w14:textId="77777777">
        <w:trPr>
          <w:trHeight w:hRule="exact" w:val="640"/>
        </w:trPr>
        <w:tc>
          <w:tcPr>
            <w:cnfStyle w:val="000010000000" w:firstRow="0" w:lastRow="0" w:firstColumn="0" w:lastColumn="0" w:oddVBand="1" w:evenVBand="0" w:oddHBand="0" w:evenHBand="0" w:firstRowFirstColumn="0" w:firstRowLastColumn="0" w:lastRowFirstColumn="0" w:lastRowLastColumn="0"/>
            <w:tcW w:w="5125" w:type="dxa"/>
            <w:tcBorders>
              <w:left w:val="none" w:sz="0" w:space="0" w:color="auto"/>
              <w:right w:val="none" w:sz="0" w:space="0" w:color="auto"/>
            </w:tcBorders>
          </w:tcPr>
          <w:p w14:paraId="2153E647" w14:textId="77777777" w:rsidR="00674AE1" w:rsidRPr="00FF021D" w:rsidRDefault="00674AE1">
            <w:pPr>
              <w:rPr>
                <w:b/>
                <w:sz w:val="24"/>
                <w:szCs w:val="24"/>
              </w:rPr>
            </w:pPr>
            <w:r w:rsidRPr="00FF021D">
              <w:rPr>
                <w:b/>
                <w:sz w:val="24"/>
                <w:szCs w:val="24"/>
              </w:rPr>
              <w:t>Deadline to Submit Applications</w:t>
            </w:r>
          </w:p>
        </w:tc>
        <w:tc>
          <w:tcPr>
            <w:tcW w:w="2885" w:type="dxa"/>
          </w:tcPr>
          <w:p w14:paraId="2AB5F741" w14:textId="7F6373B3" w:rsidR="00674AE1" w:rsidRPr="008D6D7B" w:rsidRDefault="00BD0F5D">
            <w:pPr>
              <w:cnfStyle w:val="000000000000" w:firstRow="0" w:lastRow="0" w:firstColumn="0" w:lastColumn="0" w:oddVBand="0" w:evenVBand="0" w:oddHBand="0" w:evenHBand="0" w:firstRowFirstColumn="0" w:firstRowLastColumn="0" w:lastRowFirstColumn="0" w:lastRowLastColumn="0"/>
              <w:rPr>
                <w:b/>
                <w:bCs/>
                <w:sz w:val="24"/>
                <w:szCs w:val="24"/>
                <w:u w:val="single"/>
              </w:rPr>
            </w:pPr>
            <w:r w:rsidRPr="00FF021D">
              <w:rPr>
                <w:b/>
                <w:sz w:val="24"/>
                <w:szCs w:val="24"/>
              </w:rPr>
              <w:t xml:space="preserve">January </w:t>
            </w:r>
            <w:r w:rsidRPr="00FF021D">
              <w:rPr>
                <w:b/>
                <w:bCs/>
                <w:sz w:val="24"/>
                <w:szCs w:val="24"/>
              </w:rPr>
              <w:t>2</w:t>
            </w:r>
            <w:r w:rsidR="00F32FF6">
              <w:rPr>
                <w:b/>
                <w:bCs/>
                <w:sz w:val="24"/>
                <w:szCs w:val="24"/>
              </w:rPr>
              <w:t>6</w:t>
            </w:r>
            <w:r w:rsidRPr="00FF021D">
              <w:rPr>
                <w:b/>
                <w:sz w:val="24"/>
                <w:szCs w:val="24"/>
              </w:rPr>
              <w:t>, 2027</w:t>
            </w:r>
          </w:p>
        </w:tc>
        <w:tc>
          <w:tcPr>
            <w:cnfStyle w:val="000010000000" w:firstRow="0" w:lastRow="0" w:firstColumn="0" w:lastColumn="0" w:oddVBand="1" w:evenVBand="0" w:oddHBand="0" w:evenHBand="0" w:firstRowFirstColumn="0" w:firstRowLastColumn="0" w:lastRowFirstColumn="0" w:lastRowLastColumn="0"/>
            <w:tcW w:w="1800" w:type="dxa"/>
            <w:tcBorders>
              <w:left w:val="none" w:sz="0" w:space="0" w:color="auto"/>
              <w:right w:val="none" w:sz="0" w:space="0" w:color="auto"/>
            </w:tcBorders>
          </w:tcPr>
          <w:p w14:paraId="21DB3AB4" w14:textId="77777777" w:rsidR="00674AE1" w:rsidRPr="00FF021D" w:rsidRDefault="00674AE1">
            <w:pPr>
              <w:rPr>
                <w:b/>
                <w:color w:val="0070C0"/>
                <w:sz w:val="24"/>
                <w:szCs w:val="24"/>
              </w:rPr>
            </w:pPr>
            <w:r w:rsidRPr="00FF021D">
              <w:rPr>
                <w:b/>
                <w:sz w:val="24"/>
                <w:szCs w:val="24"/>
              </w:rPr>
              <w:t>11:59 p.m.</w:t>
            </w:r>
          </w:p>
        </w:tc>
      </w:tr>
      <w:tr w:rsidR="00674AE1" w:rsidRPr="008D6D7B" w14:paraId="1E2BA10E" w14:textId="77777777">
        <w:trPr>
          <w:trHeight w:hRule="exact" w:val="712"/>
        </w:trPr>
        <w:tc>
          <w:tcPr>
            <w:cnfStyle w:val="000010000000" w:firstRow="0" w:lastRow="0" w:firstColumn="0" w:lastColumn="0" w:oddVBand="1" w:evenVBand="0" w:oddHBand="0" w:evenHBand="0" w:firstRowFirstColumn="0" w:firstRowLastColumn="0" w:lastRowFirstColumn="0" w:lastRowLastColumn="0"/>
            <w:tcW w:w="5125" w:type="dxa"/>
            <w:tcBorders>
              <w:left w:val="none" w:sz="0" w:space="0" w:color="auto"/>
              <w:right w:val="none" w:sz="0" w:space="0" w:color="auto"/>
            </w:tcBorders>
          </w:tcPr>
          <w:p w14:paraId="1242CE9D" w14:textId="77777777" w:rsidR="00674AE1" w:rsidRPr="008D6D7B" w:rsidRDefault="00674AE1">
            <w:pPr>
              <w:rPr>
                <w:sz w:val="24"/>
                <w:szCs w:val="24"/>
              </w:rPr>
            </w:pPr>
            <w:r w:rsidRPr="008D6D7B">
              <w:rPr>
                <w:sz w:val="24"/>
                <w:szCs w:val="24"/>
              </w:rPr>
              <w:t>Anticipated Notice of Proposed Award (NOPA) Posting Date</w:t>
            </w:r>
          </w:p>
        </w:tc>
        <w:tc>
          <w:tcPr>
            <w:tcW w:w="2885" w:type="dxa"/>
          </w:tcPr>
          <w:p w14:paraId="27FD2797" w14:textId="469F11C8" w:rsidR="00674AE1" w:rsidRPr="008D6D7B" w:rsidRDefault="00E913F8">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Week of </w:t>
            </w:r>
            <w:r w:rsidR="00BD0F5D">
              <w:rPr>
                <w:sz w:val="24"/>
                <w:szCs w:val="24"/>
              </w:rPr>
              <w:t>April 1</w:t>
            </w:r>
            <w:r w:rsidR="008936E8">
              <w:rPr>
                <w:sz w:val="24"/>
                <w:szCs w:val="24"/>
              </w:rPr>
              <w:t>9</w:t>
            </w:r>
            <w:r w:rsidR="003F3C89">
              <w:rPr>
                <w:sz w:val="24"/>
                <w:szCs w:val="24"/>
              </w:rPr>
              <w:t>, 2027</w:t>
            </w:r>
          </w:p>
        </w:tc>
        <w:tc>
          <w:tcPr>
            <w:cnfStyle w:val="000010000000" w:firstRow="0" w:lastRow="0" w:firstColumn="0" w:lastColumn="0" w:oddVBand="1" w:evenVBand="0" w:oddHBand="0" w:evenHBand="0" w:firstRowFirstColumn="0" w:firstRowLastColumn="0" w:lastRowFirstColumn="0" w:lastRowLastColumn="0"/>
            <w:tcW w:w="1800" w:type="dxa"/>
            <w:tcBorders>
              <w:left w:val="none" w:sz="0" w:space="0" w:color="auto"/>
              <w:right w:val="none" w:sz="0" w:space="0" w:color="auto"/>
            </w:tcBorders>
          </w:tcPr>
          <w:p w14:paraId="35E49B6E" w14:textId="77777777" w:rsidR="00674AE1" w:rsidRPr="008D6D7B" w:rsidRDefault="00674AE1">
            <w:pPr>
              <w:rPr>
                <w:sz w:val="24"/>
                <w:szCs w:val="24"/>
              </w:rPr>
            </w:pPr>
          </w:p>
        </w:tc>
      </w:tr>
      <w:tr w:rsidR="00674AE1" w:rsidRPr="008D6D7B" w14:paraId="3DFA449D" w14:textId="77777777">
        <w:trPr>
          <w:trHeight w:hRule="exact" w:val="919"/>
        </w:trPr>
        <w:tc>
          <w:tcPr>
            <w:cnfStyle w:val="000010000000" w:firstRow="0" w:lastRow="0" w:firstColumn="0" w:lastColumn="0" w:oddVBand="1" w:evenVBand="0" w:oddHBand="0" w:evenHBand="0" w:firstRowFirstColumn="0" w:firstRowLastColumn="0" w:lastRowFirstColumn="0" w:lastRowLastColumn="0"/>
            <w:tcW w:w="5125" w:type="dxa"/>
          </w:tcPr>
          <w:p w14:paraId="17D70F47" w14:textId="77777777" w:rsidR="00686526" w:rsidRPr="00686526" w:rsidRDefault="00674AE1" w:rsidP="00686526">
            <w:pPr>
              <w:spacing w:after="0"/>
              <w:rPr>
                <w:sz w:val="24"/>
                <w:szCs w:val="24"/>
              </w:rPr>
            </w:pPr>
            <w:r w:rsidRPr="00686526">
              <w:rPr>
                <w:sz w:val="24"/>
                <w:szCs w:val="24"/>
              </w:rPr>
              <w:t xml:space="preserve">Anticipated </w:t>
            </w:r>
            <w:r w:rsidR="003F3C89" w:rsidRPr="00686526">
              <w:rPr>
                <w:sz w:val="24"/>
                <w:szCs w:val="24"/>
              </w:rPr>
              <w:t>CEC</w:t>
            </w:r>
            <w:r w:rsidRPr="00686526">
              <w:rPr>
                <w:sz w:val="24"/>
                <w:szCs w:val="24"/>
              </w:rPr>
              <w:t xml:space="preserve"> Business Meeting Date </w:t>
            </w:r>
          </w:p>
          <w:p w14:paraId="0ACE649D" w14:textId="0B68C3FF" w:rsidR="00674AE1" w:rsidRPr="008D6D7B" w:rsidRDefault="00686526" w:rsidP="00686526">
            <w:pPr>
              <w:spacing w:after="0"/>
              <w:rPr>
                <w:sz w:val="24"/>
                <w:szCs w:val="24"/>
              </w:rPr>
            </w:pPr>
            <w:r w:rsidRPr="00686526">
              <w:rPr>
                <w:sz w:val="24"/>
                <w:szCs w:val="24"/>
              </w:rPr>
              <w:t>(L</w:t>
            </w:r>
            <w:r w:rsidR="00674AE1" w:rsidRPr="00686526">
              <w:rPr>
                <w:sz w:val="24"/>
                <w:szCs w:val="24"/>
              </w:rPr>
              <w:t>ocal CEQA process must be complete)</w:t>
            </w:r>
          </w:p>
        </w:tc>
        <w:tc>
          <w:tcPr>
            <w:tcW w:w="2885" w:type="dxa"/>
          </w:tcPr>
          <w:p w14:paraId="2AF69C4D" w14:textId="510A46C4" w:rsidR="00674AE1" w:rsidRPr="008D6D7B" w:rsidRDefault="00BD0F5D">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August</w:t>
            </w:r>
            <w:r w:rsidRPr="008D6D7B">
              <w:rPr>
                <w:b/>
                <w:bCs/>
                <w:sz w:val="24"/>
                <w:szCs w:val="24"/>
              </w:rPr>
              <w:t xml:space="preserve"> </w:t>
            </w:r>
            <w:r w:rsidR="00674AE1" w:rsidRPr="008D6D7B">
              <w:rPr>
                <w:sz w:val="24"/>
                <w:szCs w:val="24"/>
              </w:rPr>
              <w:t>2027</w:t>
            </w:r>
          </w:p>
        </w:tc>
        <w:tc>
          <w:tcPr>
            <w:cnfStyle w:val="000010000000" w:firstRow="0" w:lastRow="0" w:firstColumn="0" w:lastColumn="0" w:oddVBand="1" w:evenVBand="0" w:oddHBand="0" w:evenHBand="0" w:firstRowFirstColumn="0" w:firstRowLastColumn="0" w:lastRowFirstColumn="0" w:lastRowLastColumn="0"/>
            <w:tcW w:w="1800" w:type="dxa"/>
          </w:tcPr>
          <w:p w14:paraId="51D6F177" w14:textId="77777777" w:rsidR="00674AE1" w:rsidRPr="008D6D7B" w:rsidRDefault="00674AE1">
            <w:pPr>
              <w:rPr>
                <w:sz w:val="24"/>
                <w:szCs w:val="24"/>
              </w:rPr>
            </w:pPr>
          </w:p>
        </w:tc>
      </w:tr>
      <w:tr w:rsidR="00674AE1" w:rsidRPr="008D6D7B" w14:paraId="16AA7F76" w14:textId="77777777">
        <w:trPr>
          <w:trHeight w:hRule="exact" w:val="532"/>
        </w:trPr>
        <w:tc>
          <w:tcPr>
            <w:cnfStyle w:val="000010000000" w:firstRow="0" w:lastRow="0" w:firstColumn="0" w:lastColumn="0" w:oddVBand="1" w:evenVBand="0" w:oddHBand="0" w:evenHBand="0" w:firstRowFirstColumn="0" w:firstRowLastColumn="0" w:lastRowFirstColumn="0" w:lastRowLastColumn="0"/>
            <w:tcW w:w="5125" w:type="dxa"/>
            <w:tcBorders>
              <w:left w:val="none" w:sz="0" w:space="0" w:color="auto"/>
              <w:right w:val="none" w:sz="0" w:space="0" w:color="auto"/>
            </w:tcBorders>
          </w:tcPr>
          <w:p w14:paraId="45270178" w14:textId="77777777" w:rsidR="00674AE1" w:rsidRPr="008D6D7B" w:rsidRDefault="00674AE1">
            <w:pPr>
              <w:rPr>
                <w:sz w:val="24"/>
                <w:szCs w:val="24"/>
              </w:rPr>
            </w:pPr>
            <w:r w:rsidRPr="008D6D7B">
              <w:rPr>
                <w:sz w:val="24"/>
                <w:szCs w:val="24"/>
              </w:rPr>
              <w:lastRenderedPageBreak/>
              <w:t>Anticipated Agreement Start Date</w:t>
            </w:r>
          </w:p>
        </w:tc>
        <w:tc>
          <w:tcPr>
            <w:tcW w:w="2885" w:type="dxa"/>
          </w:tcPr>
          <w:p w14:paraId="0470288C" w14:textId="07331621" w:rsidR="00674AE1" w:rsidRPr="008D6D7B" w:rsidRDefault="00BD0F5D">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September</w:t>
            </w:r>
            <w:r w:rsidRPr="008D6D7B">
              <w:rPr>
                <w:sz w:val="24"/>
                <w:szCs w:val="24"/>
              </w:rPr>
              <w:t xml:space="preserve"> </w:t>
            </w:r>
            <w:r w:rsidR="00674AE1" w:rsidRPr="008D6D7B">
              <w:rPr>
                <w:sz w:val="24"/>
                <w:szCs w:val="24"/>
              </w:rPr>
              <w:t>2027</w:t>
            </w:r>
          </w:p>
        </w:tc>
        <w:tc>
          <w:tcPr>
            <w:cnfStyle w:val="000010000000" w:firstRow="0" w:lastRow="0" w:firstColumn="0" w:lastColumn="0" w:oddVBand="1" w:evenVBand="0" w:oddHBand="0" w:evenHBand="0" w:firstRowFirstColumn="0" w:firstRowLastColumn="0" w:lastRowFirstColumn="0" w:lastRowLastColumn="0"/>
            <w:tcW w:w="1800" w:type="dxa"/>
            <w:tcBorders>
              <w:left w:val="none" w:sz="0" w:space="0" w:color="auto"/>
              <w:right w:val="none" w:sz="0" w:space="0" w:color="auto"/>
            </w:tcBorders>
          </w:tcPr>
          <w:p w14:paraId="5DD02F11" w14:textId="77777777" w:rsidR="00674AE1" w:rsidRPr="008D6D7B" w:rsidRDefault="00674AE1">
            <w:pPr>
              <w:rPr>
                <w:sz w:val="24"/>
                <w:szCs w:val="24"/>
              </w:rPr>
            </w:pPr>
          </w:p>
        </w:tc>
      </w:tr>
      <w:tr w:rsidR="00674AE1" w:rsidRPr="008D6D7B" w14:paraId="211F67BD" w14:textId="77777777" w:rsidTr="00A9257A">
        <w:trPr>
          <w:trHeight w:hRule="exact" w:val="703"/>
        </w:trPr>
        <w:tc>
          <w:tcPr>
            <w:cnfStyle w:val="000010000000" w:firstRow="0" w:lastRow="0" w:firstColumn="0" w:lastColumn="0" w:oddVBand="1" w:evenVBand="0" w:oddHBand="0" w:evenHBand="0" w:firstRowFirstColumn="0" w:firstRowLastColumn="0" w:lastRowFirstColumn="0" w:lastRowLastColumn="0"/>
            <w:tcW w:w="5125" w:type="dxa"/>
          </w:tcPr>
          <w:p w14:paraId="25E89501" w14:textId="77777777" w:rsidR="00674AE1" w:rsidRPr="008D6D7B" w:rsidRDefault="00674AE1">
            <w:pPr>
              <w:spacing w:after="0"/>
              <w:rPr>
                <w:b/>
                <w:bCs/>
                <w:sz w:val="24"/>
                <w:szCs w:val="24"/>
              </w:rPr>
            </w:pPr>
            <w:r w:rsidRPr="008D6D7B">
              <w:rPr>
                <w:b/>
                <w:bCs/>
                <w:sz w:val="24"/>
                <w:szCs w:val="24"/>
              </w:rPr>
              <w:t xml:space="preserve">Encumbrance Deadline </w:t>
            </w:r>
          </w:p>
          <w:p w14:paraId="66A9179C" w14:textId="77777777" w:rsidR="00674AE1" w:rsidRPr="008D6D7B" w:rsidRDefault="00674AE1">
            <w:pPr>
              <w:spacing w:after="0"/>
              <w:rPr>
                <w:sz w:val="24"/>
                <w:szCs w:val="24"/>
              </w:rPr>
            </w:pPr>
            <w:r w:rsidRPr="008D6D7B">
              <w:rPr>
                <w:sz w:val="24"/>
                <w:szCs w:val="24"/>
              </w:rPr>
              <w:t>(Grant funds must be awarded)</w:t>
            </w:r>
          </w:p>
        </w:tc>
        <w:tc>
          <w:tcPr>
            <w:tcW w:w="2885" w:type="dxa"/>
          </w:tcPr>
          <w:p w14:paraId="7FFBAA1D" w14:textId="77777777" w:rsidR="00674AE1" w:rsidRPr="008D6D7B" w:rsidRDefault="00674AE1">
            <w:pPr>
              <w:cnfStyle w:val="000000000000" w:firstRow="0" w:lastRow="0" w:firstColumn="0" w:lastColumn="0" w:oddVBand="0" w:evenVBand="0" w:oddHBand="0" w:evenHBand="0" w:firstRowFirstColumn="0" w:firstRowLastColumn="0" w:lastRowFirstColumn="0" w:lastRowLastColumn="0"/>
              <w:rPr>
                <w:b/>
                <w:bCs/>
                <w:sz w:val="24"/>
                <w:szCs w:val="24"/>
              </w:rPr>
            </w:pPr>
            <w:r w:rsidRPr="008D6D7B">
              <w:rPr>
                <w:b/>
                <w:bCs/>
                <w:sz w:val="24"/>
                <w:szCs w:val="24"/>
              </w:rPr>
              <w:t>June 30, 2028</w:t>
            </w:r>
          </w:p>
        </w:tc>
        <w:tc>
          <w:tcPr>
            <w:cnfStyle w:val="000010000000" w:firstRow="0" w:lastRow="0" w:firstColumn="0" w:lastColumn="0" w:oddVBand="1" w:evenVBand="0" w:oddHBand="0" w:evenHBand="0" w:firstRowFirstColumn="0" w:firstRowLastColumn="0" w:lastRowFirstColumn="0" w:lastRowLastColumn="0"/>
            <w:tcW w:w="1800" w:type="dxa"/>
          </w:tcPr>
          <w:p w14:paraId="74BA10B2" w14:textId="77777777" w:rsidR="00674AE1" w:rsidRPr="008D6D7B" w:rsidRDefault="00674AE1">
            <w:pPr>
              <w:rPr>
                <w:sz w:val="24"/>
                <w:szCs w:val="24"/>
              </w:rPr>
            </w:pPr>
          </w:p>
        </w:tc>
      </w:tr>
      <w:tr w:rsidR="6AD6AEFC" w14:paraId="51CFA67B" w14:textId="77777777" w:rsidTr="6AD6AEFC">
        <w:trPr>
          <w:trHeight w:val="703"/>
        </w:trPr>
        <w:tc>
          <w:tcPr>
            <w:cnfStyle w:val="000010000000" w:firstRow="0" w:lastRow="0" w:firstColumn="0" w:lastColumn="0" w:oddVBand="1" w:evenVBand="0" w:oddHBand="0" w:evenHBand="0" w:firstRowFirstColumn="0" w:firstRowLastColumn="0" w:lastRowFirstColumn="0" w:lastRowLastColumn="0"/>
            <w:tcW w:w="5125" w:type="dxa"/>
          </w:tcPr>
          <w:p w14:paraId="29363A27" w14:textId="276E9841" w:rsidR="38B80DF6" w:rsidRDefault="38B80DF6" w:rsidP="6AD6AEFC">
            <w:pPr>
              <w:rPr>
                <w:b/>
                <w:bCs/>
                <w:sz w:val="24"/>
                <w:szCs w:val="24"/>
              </w:rPr>
            </w:pPr>
            <w:r w:rsidRPr="6AD6AEFC">
              <w:rPr>
                <w:b/>
                <w:bCs/>
                <w:sz w:val="24"/>
                <w:szCs w:val="24"/>
              </w:rPr>
              <w:t>Project Online Deadline</w:t>
            </w:r>
          </w:p>
        </w:tc>
        <w:tc>
          <w:tcPr>
            <w:tcW w:w="2885" w:type="dxa"/>
          </w:tcPr>
          <w:p w14:paraId="4D978678" w14:textId="5DD3AD5D" w:rsidR="38B80DF6" w:rsidRDefault="38B80DF6" w:rsidP="6AD6AEFC">
            <w:pPr>
              <w:cnfStyle w:val="000000000000" w:firstRow="0" w:lastRow="0" w:firstColumn="0" w:lastColumn="0" w:oddVBand="0" w:evenVBand="0" w:oddHBand="0" w:evenHBand="0" w:firstRowFirstColumn="0" w:firstRowLastColumn="0" w:lastRowFirstColumn="0" w:lastRowLastColumn="0"/>
            </w:pPr>
            <w:r w:rsidRPr="20BDE948">
              <w:rPr>
                <w:b/>
                <w:bCs/>
                <w:sz w:val="24"/>
                <w:szCs w:val="24"/>
              </w:rPr>
              <w:t>March 31, 2030</w:t>
            </w:r>
          </w:p>
        </w:tc>
        <w:tc>
          <w:tcPr>
            <w:cnfStyle w:val="000010000000" w:firstRow="0" w:lastRow="0" w:firstColumn="0" w:lastColumn="0" w:oddVBand="1" w:evenVBand="0" w:oddHBand="0" w:evenHBand="0" w:firstRowFirstColumn="0" w:firstRowLastColumn="0" w:lastRowFirstColumn="0" w:lastRowLastColumn="0"/>
            <w:tcW w:w="1800" w:type="dxa"/>
          </w:tcPr>
          <w:p w14:paraId="687C2DB5" w14:textId="137C367C" w:rsidR="6AD6AEFC" w:rsidRDefault="6AD6AEFC" w:rsidP="6AD6AEFC">
            <w:pPr>
              <w:rPr>
                <w:sz w:val="24"/>
                <w:szCs w:val="24"/>
              </w:rPr>
            </w:pPr>
          </w:p>
        </w:tc>
      </w:tr>
      <w:tr w:rsidR="00674AE1" w:rsidRPr="008D6D7B" w14:paraId="6725A415" w14:textId="77777777" w:rsidTr="00A9257A">
        <w:trPr>
          <w:trHeight w:hRule="exact" w:val="910"/>
        </w:trPr>
        <w:tc>
          <w:tcPr>
            <w:cnfStyle w:val="000010000000" w:firstRow="0" w:lastRow="0" w:firstColumn="0" w:lastColumn="0" w:oddVBand="1" w:evenVBand="0" w:oddHBand="0" w:evenHBand="0" w:firstRowFirstColumn="0" w:firstRowLastColumn="0" w:lastRowFirstColumn="0" w:lastRowLastColumn="0"/>
            <w:tcW w:w="5125" w:type="dxa"/>
          </w:tcPr>
          <w:p w14:paraId="4CDB86DD" w14:textId="77777777" w:rsidR="00674AE1" w:rsidRPr="008D6D7B" w:rsidRDefault="00674AE1">
            <w:pPr>
              <w:rPr>
                <w:sz w:val="24"/>
                <w:szCs w:val="24"/>
              </w:rPr>
            </w:pPr>
            <w:r w:rsidRPr="008D6D7B">
              <w:rPr>
                <w:sz w:val="24"/>
                <w:szCs w:val="24"/>
              </w:rPr>
              <w:t xml:space="preserve">Deadline to Submit CEC-reimbursable invoices </w:t>
            </w:r>
          </w:p>
        </w:tc>
        <w:tc>
          <w:tcPr>
            <w:tcW w:w="2885" w:type="dxa"/>
          </w:tcPr>
          <w:p w14:paraId="1CD1B7E2" w14:textId="7A3CF5CB" w:rsidR="00674AE1" w:rsidRPr="008D6D7B"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8D6D7B">
              <w:rPr>
                <w:sz w:val="24"/>
                <w:szCs w:val="24"/>
              </w:rPr>
              <w:t xml:space="preserve">March </w:t>
            </w:r>
            <w:r w:rsidR="00636BBB">
              <w:rPr>
                <w:sz w:val="24"/>
                <w:szCs w:val="24"/>
              </w:rPr>
              <w:t xml:space="preserve">31, </w:t>
            </w:r>
            <w:r w:rsidRPr="008D6D7B">
              <w:rPr>
                <w:sz w:val="24"/>
                <w:szCs w:val="24"/>
              </w:rPr>
              <w:t>2030 (</w:t>
            </w:r>
            <w:r w:rsidR="000C55A7" w:rsidRPr="008D6D7B">
              <w:rPr>
                <w:sz w:val="24"/>
                <w:szCs w:val="24"/>
              </w:rPr>
              <w:t>a</w:t>
            </w:r>
            <w:r w:rsidR="000C55A7">
              <w:rPr>
                <w:sz w:val="24"/>
                <w:szCs w:val="24"/>
              </w:rPr>
              <w:t>bout</w:t>
            </w:r>
            <w:r w:rsidR="000C55A7" w:rsidRPr="008D6D7B">
              <w:rPr>
                <w:sz w:val="24"/>
                <w:szCs w:val="24"/>
              </w:rPr>
              <w:t xml:space="preserve"> </w:t>
            </w:r>
            <w:r w:rsidRPr="008D6D7B">
              <w:rPr>
                <w:sz w:val="24"/>
                <w:szCs w:val="24"/>
              </w:rPr>
              <w:t>3 months prior to liquidation deadline)</w:t>
            </w:r>
          </w:p>
        </w:tc>
        <w:tc>
          <w:tcPr>
            <w:cnfStyle w:val="000010000000" w:firstRow="0" w:lastRow="0" w:firstColumn="0" w:lastColumn="0" w:oddVBand="1" w:evenVBand="0" w:oddHBand="0" w:evenHBand="0" w:firstRowFirstColumn="0" w:firstRowLastColumn="0" w:lastRowFirstColumn="0" w:lastRowLastColumn="0"/>
            <w:tcW w:w="1800" w:type="dxa"/>
          </w:tcPr>
          <w:p w14:paraId="34882CA6" w14:textId="77777777" w:rsidR="00674AE1" w:rsidRPr="008D6D7B" w:rsidRDefault="00674AE1">
            <w:pPr>
              <w:rPr>
                <w:sz w:val="24"/>
                <w:szCs w:val="24"/>
              </w:rPr>
            </w:pPr>
          </w:p>
        </w:tc>
      </w:tr>
      <w:tr w:rsidR="00674AE1" w:rsidRPr="008D6D7B" w14:paraId="16ECA4AE" w14:textId="77777777" w:rsidTr="00CA2DD5">
        <w:trPr>
          <w:trHeight w:hRule="exact" w:val="1000"/>
        </w:trPr>
        <w:tc>
          <w:tcPr>
            <w:cnfStyle w:val="000010000000" w:firstRow="0" w:lastRow="0" w:firstColumn="0" w:lastColumn="0" w:oddVBand="1" w:evenVBand="0" w:oddHBand="0" w:evenHBand="0" w:firstRowFirstColumn="0" w:firstRowLastColumn="0" w:lastRowFirstColumn="0" w:lastRowLastColumn="0"/>
            <w:tcW w:w="5125" w:type="dxa"/>
          </w:tcPr>
          <w:p w14:paraId="2A14BA48" w14:textId="10EF9F42" w:rsidR="00674AE1" w:rsidRPr="008D6D7B" w:rsidRDefault="00674AE1">
            <w:pPr>
              <w:spacing w:after="0"/>
              <w:rPr>
                <w:b/>
                <w:bCs/>
                <w:sz w:val="24"/>
                <w:szCs w:val="24"/>
              </w:rPr>
            </w:pPr>
            <w:r w:rsidRPr="008D6D7B">
              <w:rPr>
                <w:b/>
                <w:bCs/>
                <w:sz w:val="24"/>
                <w:szCs w:val="24"/>
              </w:rPr>
              <w:t xml:space="preserve">Liquidation Deadline </w:t>
            </w:r>
          </w:p>
          <w:p w14:paraId="783B3146" w14:textId="0DCF826B" w:rsidR="00674AE1" w:rsidRPr="008D6D7B" w:rsidRDefault="00674AE1">
            <w:pPr>
              <w:rPr>
                <w:sz w:val="24"/>
                <w:szCs w:val="24"/>
              </w:rPr>
            </w:pPr>
            <w:r w:rsidRPr="008D6D7B">
              <w:rPr>
                <w:sz w:val="24"/>
                <w:szCs w:val="24"/>
              </w:rPr>
              <w:t>(</w:t>
            </w:r>
            <w:r w:rsidR="0210CA4F" w:rsidRPr="48EB55DF">
              <w:rPr>
                <w:sz w:val="24"/>
                <w:szCs w:val="24"/>
              </w:rPr>
              <w:t>Current s</w:t>
            </w:r>
            <w:r w:rsidR="7E73FCC1" w:rsidRPr="48EB55DF">
              <w:rPr>
                <w:sz w:val="24"/>
                <w:szCs w:val="24"/>
              </w:rPr>
              <w:t>tatutory</w:t>
            </w:r>
            <w:r w:rsidR="7E73FCC1" w:rsidRPr="5F5ADFD9">
              <w:rPr>
                <w:sz w:val="24"/>
                <w:szCs w:val="24"/>
              </w:rPr>
              <w:t xml:space="preserve"> deadline for </w:t>
            </w:r>
            <w:r w:rsidR="7E73FCC1" w:rsidRPr="32B54D8C">
              <w:rPr>
                <w:sz w:val="24"/>
                <w:szCs w:val="24"/>
              </w:rPr>
              <w:t xml:space="preserve">CEC’s </w:t>
            </w:r>
            <w:r w:rsidR="7E73FCC1" w:rsidRPr="5F5ADFD9">
              <w:rPr>
                <w:sz w:val="24"/>
                <w:szCs w:val="24"/>
              </w:rPr>
              <w:t xml:space="preserve">expenditure </w:t>
            </w:r>
            <w:r w:rsidR="7E73FCC1" w:rsidRPr="32B54D8C">
              <w:rPr>
                <w:sz w:val="24"/>
                <w:szCs w:val="24"/>
              </w:rPr>
              <w:t>of grant funds.</w:t>
            </w:r>
            <w:r w:rsidRPr="32B54D8C">
              <w:rPr>
                <w:sz w:val="24"/>
                <w:szCs w:val="24"/>
              </w:rPr>
              <w:t>)</w:t>
            </w:r>
          </w:p>
        </w:tc>
        <w:tc>
          <w:tcPr>
            <w:tcW w:w="2885" w:type="dxa"/>
          </w:tcPr>
          <w:p w14:paraId="11DE3176" w14:textId="77777777" w:rsidR="00674AE1" w:rsidRPr="008D6D7B" w:rsidRDefault="00674AE1">
            <w:pPr>
              <w:cnfStyle w:val="000000000000" w:firstRow="0" w:lastRow="0" w:firstColumn="0" w:lastColumn="0" w:oddVBand="0" w:evenVBand="0" w:oddHBand="0" w:evenHBand="0" w:firstRowFirstColumn="0" w:firstRowLastColumn="0" w:lastRowFirstColumn="0" w:lastRowLastColumn="0"/>
              <w:rPr>
                <w:b/>
                <w:bCs/>
                <w:sz w:val="24"/>
                <w:szCs w:val="24"/>
              </w:rPr>
            </w:pPr>
            <w:r w:rsidRPr="008D6D7B">
              <w:rPr>
                <w:b/>
                <w:bCs/>
                <w:sz w:val="24"/>
                <w:szCs w:val="24"/>
              </w:rPr>
              <w:t>June 30, 2030</w:t>
            </w:r>
          </w:p>
        </w:tc>
        <w:tc>
          <w:tcPr>
            <w:cnfStyle w:val="000010000000" w:firstRow="0" w:lastRow="0" w:firstColumn="0" w:lastColumn="0" w:oddVBand="1" w:evenVBand="0" w:oddHBand="0" w:evenHBand="0" w:firstRowFirstColumn="0" w:firstRowLastColumn="0" w:lastRowFirstColumn="0" w:lastRowLastColumn="0"/>
            <w:tcW w:w="1800" w:type="dxa"/>
          </w:tcPr>
          <w:p w14:paraId="141C260E" w14:textId="77777777" w:rsidR="00674AE1" w:rsidRPr="008D6D7B" w:rsidRDefault="00674AE1">
            <w:pPr>
              <w:rPr>
                <w:sz w:val="24"/>
                <w:szCs w:val="24"/>
              </w:rPr>
            </w:pPr>
          </w:p>
        </w:tc>
      </w:tr>
      <w:tr w:rsidR="00674AE1" w:rsidRPr="008D6D7B" w14:paraId="22800114" w14:textId="77777777" w:rsidTr="00433704">
        <w:trPr>
          <w:trHeight w:hRule="exact" w:val="1342"/>
        </w:trPr>
        <w:tc>
          <w:tcPr>
            <w:cnfStyle w:val="000010000000" w:firstRow="0" w:lastRow="0" w:firstColumn="0" w:lastColumn="0" w:oddVBand="1" w:evenVBand="0" w:oddHBand="0" w:evenHBand="0" w:firstRowFirstColumn="0" w:firstRowLastColumn="0" w:lastRowFirstColumn="0" w:lastRowLastColumn="0"/>
            <w:tcW w:w="5125" w:type="dxa"/>
          </w:tcPr>
          <w:p w14:paraId="69E2DA70" w14:textId="77777777" w:rsidR="00674AE1" w:rsidRDefault="00674AE1">
            <w:pPr>
              <w:spacing w:after="0"/>
              <w:rPr>
                <w:sz w:val="24"/>
                <w:szCs w:val="24"/>
              </w:rPr>
            </w:pPr>
            <w:r w:rsidRPr="00342A9A">
              <w:rPr>
                <w:sz w:val="24"/>
                <w:szCs w:val="24"/>
              </w:rPr>
              <w:t xml:space="preserve">Anticipated Agreement </w:t>
            </w:r>
            <w:r w:rsidR="00CD7F01" w:rsidRPr="00342A9A">
              <w:rPr>
                <w:sz w:val="24"/>
                <w:szCs w:val="24"/>
              </w:rPr>
              <w:t xml:space="preserve">End </w:t>
            </w:r>
            <w:r w:rsidRPr="00342A9A">
              <w:rPr>
                <w:sz w:val="24"/>
                <w:szCs w:val="24"/>
              </w:rPr>
              <w:t>Date</w:t>
            </w:r>
          </w:p>
          <w:p w14:paraId="0F766687" w14:textId="60AA50C2" w:rsidR="00433704" w:rsidRPr="00342A9A" w:rsidRDefault="00433704">
            <w:pPr>
              <w:spacing w:after="0"/>
              <w:rPr>
                <w:sz w:val="24"/>
                <w:szCs w:val="24"/>
              </w:rPr>
            </w:pPr>
            <w:r>
              <w:rPr>
                <w:sz w:val="24"/>
                <w:szCs w:val="24"/>
              </w:rPr>
              <w:t>(Completion of all performance data reporting requirements per Section II.B.7 “Reporting Requirements”</w:t>
            </w:r>
            <w:r w:rsidR="00AB08D8">
              <w:rPr>
                <w:sz w:val="24"/>
                <w:szCs w:val="24"/>
              </w:rPr>
              <w:t>)</w:t>
            </w:r>
          </w:p>
        </w:tc>
        <w:tc>
          <w:tcPr>
            <w:tcW w:w="2885" w:type="dxa"/>
          </w:tcPr>
          <w:p w14:paraId="4C480F2D" w14:textId="6CDFEA46" w:rsidR="00674AE1" w:rsidRPr="00342A9A" w:rsidRDefault="00674AE1">
            <w:pPr>
              <w:cnfStyle w:val="000000000000" w:firstRow="0" w:lastRow="0" w:firstColumn="0" w:lastColumn="0" w:oddVBand="0" w:evenVBand="0" w:oddHBand="0" w:evenHBand="0" w:firstRowFirstColumn="0" w:firstRowLastColumn="0" w:lastRowFirstColumn="0" w:lastRowLastColumn="0"/>
              <w:rPr>
                <w:sz w:val="24"/>
                <w:szCs w:val="24"/>
              </w:rPr>
            </w:pPr>
            <w:r w:rsidRPr="00342A9A">
              <w:rPr>
                <w:sz w:val="24"/>
                <w:szCs w:val="24"/>
              </w:rPr>
              <w:t xml:space="preserve">Minimum of three (3) program seasons after the project online </w:t>
            </w:r>
            <w:r w:rsidR="007B1A33">
              <w:rPr>
                <w:sz w:val="24"/>
                <w:szCs w:val="24"/>
              </w:rPr>
              <w:t>date</w:t>
            </w:r>
          </w:p>
        </w:tc>
        <w:tc>
          <w:tcPr>
            <w:cnfStyle w:val="000010000000" w:firstRow="0" w:lastRow="0" w:firstColumn="0" w:lastColumn="0" w:oddVBand="1" w:evenVBand="0" w:oddHBand="0" w:evenHBand="0" w:firstRowFirstColumn="0" w:firstRowLastColumn="0" w:lastRowFirstColumn="0" w:lastRowLastColumn="0"/>
            <w:tcW w:w="1800" w:type="dxa"/>
          </w:tcPr>
          <w:p w14:paraId="037B0BCA" w14:textId="77777777" w:rsidR="00674AE1" w:rsidRPr="008D6D7B" w:rsidRDefault="00674AE1">
            <w:pPr>
              <w:rPr>
                <w:sz w:val="24"/>
                <w:szCs w:val="24"/>
              </w:rPr>
            </w:pPr>
          </w:p>
        </w:tc>
      </w:tr>
    </w:tbl>
    <w:p w14:paraId="23B614B0" w14:textId="77777777" w:rsidR="00674AE1" w:rsidRPr="00756BAC" w:rsidRDefault="00674AE1" w:rsidP="00B6721C">
      <w:pPr>
        <w:pStyle w:val="Heading3"/>
        <w:ind w:left="0"/>
      </w:pPr>
      <w:bookmarkStart w:id="93" w:name="_Toc243558502"/>
      <w:bookmarkEnd w:id="92"/>
      <w:r w:rsidRPr="00756BAC">
        <w:t>Funding</w:t>
      </w:r>
      <w:bookmarkEnd w:id="93"/>
    </w:p>
    <w:p w14:paraId="1B44752A" w14:textId="77777777" w:rsidR="00674AE1" w:rsidRDefault="00674AE1" w:rsidP="00674AE1">
      <w:pPr>
        <w:pStyle w:val="Heading4"/>
        <w:numPr>
          <w:ilvl w:val="0"/>
          <w:numId w:val="62"/>
        </w:numPr>
        <w:tabs>
          <w:tab w:val="num" w:pos="360"/>
        </w:tabs>
        <w:ind w:left="0" w:firstLine="0"/>
      </w:pPr>
      <w:bookmarkStart w:id="94" w:name="_Toc243558503"/>
      <w:r w:rsidRPr="003F6147">
        <w:t xml:space="preserve">Amount Available and </w:t>
      </w:r>
      <w:r w:rsidRPr="00E00096">
        <w:t>Minimum</w:t>
      </w:r>
      <w:r w:rsidRPr="003F6147">
        <w:t>/Maximum Funding Amounts</w:t>
      </w:r>
      <w:bookmarkEnd w:id="94"/>
    </w:p>
    <w:p w14:paraId="2C4F7BD7" w14:textId="0430C968" w:rsidR="00674AE1" w:rsidRDefault="00674AE1" w:rsidP="00674AE1">
      <w:r>
        <w:t>A funding amount in the range of $23.</w:t>
      </w:r>
      <w:r w:rsidR="006147F6">
        <w:t>1</w:t>
      </w:r>
      <w:r w:rsidR="001577EE">
        <w:t>44</w:t>
      </w:r>
      <w:r w:rsidR="006147F6">
        <w:t xml:space="preserve"> million </w:t>
      </w:r>
      <w:r>
        <w:t>to $</w:t>
      </w:r>
      <w:r w:rsidR="0043175B">
        <w:t>4</w:t>
      </w:r>
      <w:r w:rsidR="00F035C5">
        <w:t>6</w:t>
      </w:r>
      <w:r>
        <w:t>.1</w:t>
      </w:r>
      <w:r w:rsidR="001577EE">
        <w:t>44</w:t>
      </w:r>
      <w:r w:rsidR="00A715AD">
        <w:t xml:space="preserve"> million</w:t>
      </w:r>
      <w:r>
        <w:t xml:space="preserve"> is anticipated to be available for DEBA grants awarded under this competitive solicitation. Table 3 lists the minimum and maximum funding amounts available for an application selected for award, and the minimum match funding required from the awarded applicant. </w:t>
      </w:r>
    </w:p>
    <w:p w14:paraId="004EA7B3" w14:textId="77777777" w:rsidR="00674AE1" w:rsidRPr="003F6147" w:rsidRDefault="00674AE1" w:rsidP="00674AE1">
      <w:pPr>
        <w:pStyle w:val="TableTitle"/>
      </w:pPr>
      <w:bookmarkStart w:id="95" w:name="_Toc243558587"/>
      <w:r>
        <w:t>Table 3: Solicitation Funding Parameters</w:t>
      </w:r>
      <w:bookmarkEnd w:id="95"/>
    </w:p>
    <w:tbl>
      <w:tblPr>
        <w:tblStyle w:val="ListTable31"/>
        <w:tblW w:w="98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Caption w:val="Available and Minimum/ Maximum Funding Amounts Table"/>
        <w:tblDescription w:val="Table describes the total amount of funding of Energy Commission funds, the minimum and maximum of award amounts, and any match requirements per project group. "/>
      </w:tblPr>
      <w:tblGrid>
        <w:gridCol w:w="2518"/>
        <w:gridCol w:w="2610"/>
        <w:gridCol w:w="2700"/>
        <w:gridCol w:w="1980"/>
      </w:tblGrid>
      <w:tr w:rsidR="00674AE1" w:rsidRPr="005B073B" w14:paraId="78A3A49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18" w:type="dxa"/>
          </w:tcPr>
          <w:p w14:paraId="6484212B" w14:textId="77777777" w:rsidR="00674AE1" w:rsidRPr="005B073B" w:rsidRDefault="00674AE1">
            <w:r w:rsidRPr="005B073B">
              <w:t>Available</w:t>
            </w:r>
            <w:r>
              <w:t xml:space="preserve"> </w:t>
            </w:r>
            <w:r w:rsidRPr="005B073B">
              <w:t>funding</w:t>
            </w:r>
          </w:p>
        </w:tc>
        <w:tc>
          <w:tcPr>
            <w:cnfStyle w:val="000010000000" w:firstRow="0" w:lastRow="0" w:firstColumn="0" w:lastColumn="0" w:oddVBand="1" w:evenVBand="0" w:oddHBand="0" w:evenHBand="0" w:firstRowFirstColumn="0" w:firstRowLastColumn="0" w:lastRowFirstColumn="0" w:lastRowLastColumn="0"/>
            <w:tcW w:w="2610" w:type="dxa"/>
          </w:tcPr>
          <w:p w14:paraId="3BF94FBB" w14:textId="77777777" w:rsidR="00674AE1" w:rsidRPr="005B073B" w:rsidRDefault="00674AE1">
            <w:r w:rsidRPr="005B073B">
              <w:t xml:space="preserve">Minimum award </w:t>
            </w:r>
          </w:p>
        </w:tc>
        <w:tc>
          <w:tcPr>
            <w:tcW w:w="2700" w:type="dxa"/>
          </w:tcPr>
          <w:p w14:paraId="66748A61" w14:textId="77777777" w:rsidR="00674AE1" w:rsidRPr="005B073B" w:rsidRDefault="00674AE1">
            <w:pPr>
              <w:cnfStyle w:val="100000000000" w:firstRow="1" w:lastRow="0" w:firstColumn="0" w:lastColumn="0" w:oddVBand="0" w:evenVBand="0" w:oddHBand="0" w:evenHBand="0" w:firstRowFirstColumn="0" w:firstRowLastColumn="0" w:lastRowFirstColumn="0" w:lastRowLastColumn="0"/>
            </w:pPr>
            <w:r w:rsidRPr="005B073B">
              <w:t xml:space="preserve">Maximum award </w:t>
            </w:r>
          </w:p>
        </w:tc>
        <w:tc>
          <w:tcPr>
            <w:cnfStyle w:val="000010000000" w:firstRow="0" w:lastRow="0" w:firstColumn="0" w:lastColumn="0" w:oddVBand="1" w:evenVBand="0" w:oddHBand="0" w:evenHBand="0" w:firstRowFirstColumn="0" w:firstRowLastColumn="0" w:lastRowFirstColumn="0" w:lastRowLastColumn="0"/>
            <w:tcW w:w="1980" w:type="dxa"/>
          </w:tcPr>
          <w:p w14:paraId="1FED9617" w14:textId="189AB662" w:rsidR="00674AE1" w:rsidRPr="005B073B" w:rsidRDefault="00674AE1">
            <w:r w:rsidRPr="005B073B">
              <w:t>Minimum match funding</w:t>
            </w:r>
            <w:r w:rsidR="00DF3DCD">
              <w:t xml:space="preserve"> (% of CEC funds requested)</w:t>
            </w:r>
          </w:p>
        </w:tc>
      </w:tr>
      <w:tr w:rsidR="00674AE1" w:rsidRPr="005B073B" w14:paraId="7CEFAA42" w14:textId="77777777">
        <w:tc>
          <w:tcPr>
            <w:cnfStyle w:val="001000000000" w:firstRow="0" w:lastRow="0" w:firstColumn="1" w:lastColumn="0" w:oddVBand="0" w:evenVBand="0" w:oddHBand="0" w:evenHBand="0" w:firstRowFirstColumn="0" w:firstRowLastColumn="0" w:lastRowFirstColumn="0" w:lastRowLastColumn="0"/>
            <w:tcW w:w="2518" w:type="dxa"/>
          </w:tcPr>
          <w:p w14:paraId="38EDB2C2" w14:textId="5EAB5F44" w:rsidR="00674AE1" w:rsidRPr="005A4A30" w:rsidRDefault="00674AE1">
            <w:pPr>
              <w:rPr>
                <w:color w:val="0070C0"/>
                <w:sz w:val="22"/>
                <w:szCs w:val="22"/>
              </w:rPr>
            </w:pPr>
            <w:r>
              <w:rPr>
                <w:sz w:val="22"/>
                <w:szCs w:val="22"/>
              </w:rPr>
              <w:t>$23,</w:t>
            </w:r>
            <w:r w:rsidR="006147F6">
              <w:rPr>
                <w:sz w:val="22"/>
                <w:szCs w:val="22"/>
              </w:rPr>
              <w:t>1</w:t>
            </w:r>
            <w:r w:rsidR="001577EE">
              <w:rPr>
                <w:sz w:val="22"/>
                <w:szCs w:val="22"/>
              </w:rPr>
              <w:t>44</w:t>
            </w:r>
            <w:r>
              <w:rPr>
                <w:sz w:val="22"/>
                <w:szCs w:val="22"/>
              </w:rPr>
              <w:t xml:space="preserve">,000 to </w:t>
            </w:r>
            <w:r w:rsidRPr="005A4A30">
              <w:rPr>
                <w:sz w:val="22"/>
                <w:szCs w:val="22"/>
              </w:rPr>
              <w:t>$</w:t>
            </w:r>
            <w:r w:rsidR="0043175B">
              <w:rPr>
                <w:sz w:val="22"/>
                <w:szCs w:val="22"/>
              </w:rPr>
              <w:t>4</w:t>
            </w:r>
            <w:r w:rsidR="00F035C5">
              <w:rPr>
                <w:sz w:val="22"/>
                <w:szCs w:val="22"/>
              </w:rPr>
              <w:t>6</w:t>
            </w:r>
            <w:r>
              <w:rPr>
                <w:sz w:val="22"/>
                <w:szCs w:val="22"/>
              </w:rPr>
              <w:t>,144,000</w:t>
            </w:r>
          </w:p>
        </w:tc>
        <w:tc>
          <w:tcPr>
            <w:cnfStyle w:val="000010000000" w:firstRow="0" w:lastRow="0" w:firstColumn="0" w:lastColumn="0" w:oddVBand="1" w:evenVBand="0" w:oddHBand="0" w:evenHBand="0" w:firstRowFirstColumn="0" w:firstRowLastColumn="0" w:lastRowFirstColumn="0" w:lastRowLastColumn="0"/>
            <w:tcW w:w="2610" w:type="dxa"/>
          </w:tcPr>
          <w:p w14:paraId="11EF9306" w14:textId="77777777" w:rsidR="00674AE1" w:rsidRPr="005A4A30" w:rsidRDefault="00674AE1">
            <w:pPr>
              <w:rPr>
                <w:sz w:val="22"/>
                <w:szCs w:val="22"/>
              </w:rPr>
            </w:pPr>
            <w:r w:rsidRPr="005A4A30">
              <w:rPr>
                <w:sz w:val="22"/>
                <w:szCs w:val="22"/>
              </w:rPr>
              <w:t>$</w:t>
            </w:r>
            <w:r w:rsidRPr="5115EAF7">
              <w:rPr>
                <w:sz w:val="22"/>
                <w:szCs w:val="22"/>
              </w:rPr>
              <w:t>2,</w:t>
            </w:r>
            <w:r>
              <w:rPr>
                <w:sz w:val="22"/>
                <w:szCs w:val="22"/>
              </w:rPr>
              <w:t>0</w:t>
            </w:r>
            <w:r w:rsidRPr="5115EAF7">
              <w:rPr>
                <w:sz w:val="22"/>
                <w:szCs w:val="22"/>
              </w:rPr>
              <w:t>00</w:t>
            </w:r>
            <w:r w:rsidRPr="005A4A30">
              <w:rPr>
                <w:sz w:val="22"/>
                <w:szCs w:val="22"/>
              </w:rPr>
              <w:t>,000</w:t>
            </w:r>
          </w:p>
        </w:tc>
        <w:tc>
          <w:tcPr>
            <w:tcW w:w="2700" w:type="dxa"/>
          </w:tcPr>
          <w:p w14:paraId="2EE7F8CA" w14:textId="77777777" w:rsidR="00674AE1" w:rsidRPr="005A4A30" w:rsidRDefault="00674AE1">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$8,000,000</w:t>
            </w:r>
          </w:p>
        </w:tc>
        <w:tc>
          <w:tcPr>
            <w:cnfStyle w:val="000010000000" w:firstRow="0" w:lastRow="0" w:firstColumn="0" w:lastColumn="0" w:oddVBand="1" w:evenVBand="0" w:oddHBand="0" w:evenHBand="0" w:firstRowFirstColumn="0" w:firstRowLastColumn="0" w:lastRowFirstColumn="0" w:lastRowLastColumn="0"/>
            <w:tcW w:w="1980" w:type="dxa"/>
          </w:tcPr>
          <w:p w14:paraId="14402C49" w14:textId="1F63F2CF" w:rsidR="00674AE1" w:rsidRPr="005A4A30" w:rsidRDefault="00674AE1">
            <w:pPr>
              <w:rPr>
                <w:sz w:val="22"/>
                <w:szCs w:val="22"/>
              </w:rPr>
            </w:pPr>
            <w:r>
              <w:rPr>
                <w:sz w:val="22"/>
                <w:szCs w:val="22"/>
              </w:rPr>
              <w:t>25%</w:t>
            </w:r>
            <w:r w:rsidR="00755395">
              <w:rPr>
                <w:rStyle w:val="FootnoteReference"/>
                <w:sz w:val="22"/>
                <w:szCs w:val="22"/>
              </w:rPr>
              <w:footnoteReference w:id="4"/>
            </w:r>
            <w:r>
              <w:rPr>
                <w:sz w:val="22"/>
                <w:szCs w:val="22"/>
              </w:rPr>
              <w:t xml:space="preserve"> </w:t>
            </w:r>
          </w:p>
        </w:tc>
      </w:tr>
    </w:tbl>
    <w:p w14:paraId="11639998" w14:textId="77777777" w:rsidR="00674AE1" w:rsidRDefault="00674AE1" w:rsidP="00674AE1"/>
    <w:p w14:paraId="35081A2F" w14:textId="1E263DA8" w:rsidR="00674AE1" w:rsidRDefault="00674AE1" w:rsidP="00674AE1">
      <w:r>
        <w:t xml:space="preserve">The actual available funding within the above range applicable for this competitive solicitation will be dependent on the outcome of the parallel DEBA direct award process conducted by the CEC pursuant to SB 105 (see discussion of “direct award process” in </w:t>
      </w:r>
      <w:r>
        <w:lastRenderedPageBreak/>
        <w:t xml:space="preserve">Section I.B. </w:t>
      </w:r>
      <w:r w:rsidR="00100B32">
        <w:t>“</w:t>
      </w:r>
      <w:r>
        <w:t>Background</w:t>
      </w:r>
      <w:r w:rsidR="00100B32">
        <w:t>”</w:t>
      </w:r>
      <w:r>
        <w:t xml:space="preserve">). The direct award process is expected to conclude prior to the release of </w:t>
      </w:r>
      <w:r w:rsidR="001E355A">
        <w:t>the Notice of Proposed Award</w:t>
      </w:r>
      <w:r>
        <w:t>.</w:t>
      </w:r>
    </w:p>
    <w:p w14:paraId="12E15F3C" w14:textId="77777777" w:rsidR="00674AE1" w:rsidRPr="00DC77DC" w:rsidRDefault="00674AE1" w:rsidP="00674AE1">
      <w:pPr>
        <w:pStyle w:val="Heading4"/>
        <w:numPr>
          <w:ilvl w:val="0"/>
          <w:numId w:val="62"/>
        </w:numPr>
        <w:tabs>
          <w:tab w:val="num" w:pos="360"/>
        </w:tabs>
        <w:ind w:left="0" w:firstLine="0"/>
      </w:pPr>
      <w:bookmarkStart w:id="96" w:name="_Toc243558504"/>
      <w:r>
        <w:t>Award Funding and Disbursement Process</w:t>
      </w:r>
      <w:bookmarkEnd w:id="96"/>
    </w:p>
    <w:p w14:paraId="52FA1830" w14:textId="6E473CA5" w:rsidR="00674AE1" w:rsidRDefault="547FEEC0" w:rsidP="00674AE1">
      <w:r>
        <w:t xml:space="preserve">Recipients (awarded projects) may request reimbursement from the CEC for eligible project costs. </w:t>
      </w:r>
      <w:r w:rsidR="008650BA">
        <w:t>Advanced payments will not be allowed.</w:t>
      </w:r>
      <w:r w:rsidR="0000463F">
        <w:t xml:space="preserve"> </w:t>
      </w:r>
      <w:r>
        <w:t xml:space="preserve">All expenditures, CEC-reimbursable and match, must occur within the approved term of the grant agreement executed between the recipient and the CEC, subject to </w:t>
      </w:r>
      <w:r w:rsidR="69050F4D">
        <w:t xml:space="preserve">each of </w:t>
      </w:r>
      <w:r>
        <w:t>the following conditions. All CEC-reimbursable expenditures must be incurred, and all related payments</w:t>
      </w:r>
      <w:r w:rsidR="409F5890">
        <w:t>,</w:t>
      </w:r>
      <w:r>
        <w:t xml:space="preserve"> including retention</w:t>
      </w:r>
      <w:r w:rsidR="409F5890">
        <w:t>,</w:t>
      </w:r>
      <w:r>
        <w:t xml:space="preserve"> must be completed </w:t>
      </w:r>
      <w:r w:rsidR="44A213F9">
        <w:t>after the grant agreement is executed and before</w:t>
      </w:r>
      <w:r>
        <w:t xml:space="preserve"> the </w:t>
      </w:r>
      <w:r w:rsidR="4BD0FDE8">
        <w:t xml:space="preserve">current </w:t>
      </w:r>
      <w:r>
        <w:t xml:space="preserve">statutory liquidation deadline of June 30, 2030. </w:t>
      </w:r>
      <w:r w:rsidR="738FBF57">
        <w:t>Under this deadline, t</w:t>
      </w:r>
      <w:r>
        <w:t xml:space="preserve">he CEC is prohibited from disbursing funds, even if encumbered and described in the </w:t>
      </w:r>
      <w:r w:rsidR="2692D2B4">
        <w:t xml:space="preserve">grant agreement </w:t>
      </w:r>
      <w:r>
        <w:t>budget</w:t>
      </w:r>
      <w:r w:rsidR="00096D2A">
        <w:t>,</w:t>
      </w:r>
      <w:r>
        <w:t xml:space="preserve"> after June 30, 2030. To meet this requirement, the CEC will establish a payment invoice deadline of March 31, 2030, several months prior to the liquidation deadline to account for necessary processing time to ensure payment of funds. No tasks completed after March 31, 2030, shall be reimbursed by CEC funds. Tasks required after the liquidation deadline because they are material to the satisfactory performance of the grant agreement including monthly and annual performance reporting, progress meetings with CEC staff, and surveys, may be funded by match. </w:t>
      </w:r>
      <w:r w:rsidR="5285B4AC">
        <w:t>Additionally, with supporting documentation, the Recipient may at its own risk spend match funds</w:t>
      </w:r>
      <w:r w:rsidR="51C9745A">
        <w:t xml:space="preserve"> </w:t>
      </w:r>
      <w:r w:rsidR="00806550">
        <w:t xml:space="preserve">on any costs eligible for match funds </w:t>
      </w:r>
      <w:r w:rsidR="51C9745A">
        <w:t>after</w:t>
      </w:r>
      <w:r w:rsidR="5285B4AC">
        <w:t xml:space="preserve"> the Notice of Proposed Awards is posted and before t</w:t>
      </w:r>
      <w:r w:rsidR="4B99A4E6">
        <w:t>he grant agreement is executed</w:t>
      </w:r>
      <w:r w:rsidR="5285B4AC">
        <w:t>, subject to all other</w:t>
      </w:r>
      <w:r w:rsidR="591AB3F0">
        <w:t xml:space="preserve"> </w:t>
      </w:r>
      <w:r w:rsidR="5285B4AC">
        <w:t>requirements for eligible match funds provided in th</w:t>
      </w:r>
      <w:r w:rsidR="0BC84B4D">
        <w:t>e grant a</w:t>
      </w:r>
      <w:r w:rsidR="5285B4AC">
        <w:t>greement.</w:t>
      </w:r>
    </w:p>
    <w:p w14:paraId="6B0F3252" w14:textId="73DC3DD9" w:rsidR="00674AE1" w:rsidRDefault="00674AE1" w:rsidP="00674AE1">
      <w:pPr>
        <w:rPr>
          <w:b/>
          <w:bCs/>
        </w:rPr>
      </w:pPr>
      <w:r w:rsidRPr="00522B65">
        <w:t>A</w:t>
      </w:r>
      <w:r>
        <w:t>f</w:t>
      </w:r>
      <w:r w:rsidRPr="00522B65">
        <w:t>t</w:t>
      </w:r>
      <w:r>
        <w:t>er</w:t>
      </w:r>
      <w:r w:rsidRPr="00522B65">
        <w:t xml:space="preserve"> the </w:t>
      </w:r>
      <w:r>
        <w:t>liquidation date</w:t>
      </w:r>
      <w:r w:rsidRPr="00522B65">
        <w:t xml:space="preserve">, all remaining unspent </w:t>
      </w:r>
      <w:r>
        <w:t xml:space="preserve">CEC </w:t>
      </w:r>
      <w:r w:rsidRPr="00522B65">
        <w:t>funds will be returned to the</w:t>
      </w:r>
      <w:r>
        <w:t xml:space="preserve"> State of California, and remaining tasks until the Agreement Termination Date should be funded by match. Applicants should account for this in the Project Schedule</w:t>
      </w:r>
      <w:r w:rsidR="00B12B39">
        <w:t xml:space="preserve"> (Attachment 05)</w:t>
      </w:r>
      <w:r>
        <w:t xml:space="preserve"> </w:t>
      </w:r>
      <w:r w:rsidR="5B4F26D5">
        <w:t>and Budget</w:t>
      </w:r>
      <w:r w:rsidR="033CC5E8">
        <w:t xml:space="preserve"> </w:t>
      </w:r>
      <w:r>
        <w:t>(Attachment 0</w:t>
      </w:r>
      <w:r w:rsidR="00B12B39">
        <w:t>6</w:t>
      </w:r>
      <w:r>
        <w:t>).</w:t>
      </w:r>
    </w:p>
    <w:p w14:paraId="410A7677" w14:textId="77777777" w:rsidR="00674AE1" w:rsidRDefault="00674AE1" w:rsidP="00674AE1">
      <w:r>
        <w:t xml:space="preserve">Payments will be disbursed based on expenditures incurred and supported by invoices and monthly or quarterly reports demonstrating satisfactory and continued progress toward the project’s established milestones. </w:t>
      </w:r>
    </w:p>
    <w:p w14:paraId="496F84AD" w14:textId="77777777" w:rsidR="00674AE1" w:rsidRDefault="00674AE1" w:rsidP="00674AE1">
      <w:r>
        <w:t>The CEC intends to approve awards up to the amount listed in the Notice of Proposed Award (NOPA). It is the CEC’s policy to retain</w:t>
      </w:r>
      <w:r w:rsidDel="00D13713">
        <w:t xml:space="preserve"> </w:t>
      </w:r>
      <w:r>
        <w:t xml:space="preserve">10 percent from each reimbursement request (e.g., invoice) until the end of the project and the Final Project Report is submitted, or the liquidation date, whichever occurs first, pending confirmation that performance standards as required in the Scope of Work (Attachment 04) of the grant agreement were met. To request final payment, Recipients must timely submit a completed payment request form. </w:t>
      </w:r>
    </w:p>
    <w:p w14:paraId="5641CBB2" w14:textId="7E8D971B" w:rsidR="00674AE1" w:rsidRDefault="00674AE1" w:rsidP="00674AE1">
      <w:r>
        <w:t>If the CEC determines that any invoiced and paid amounts exceed the actual allowable incurred costs or the project does not meet the performance standards required by the Scope of Work (</w:t>
      </w:r>
      <w:r w:rsidRPr="000C0F9A">
        <w:t>Attachment 04</w:t>
      </w:r>
      <w:r>
        <w:t xml:space="preserve">), </w:t>
      </w:r>
      <w:r w:rsidRPr="009507B3">
        <w:t xml:space="preserve">the Recipient will repay the amounts to the CEC within thirty (30) days of request or as otherwise </w:t>
      </w:r>
      <w:r w:rsidR="0074076B">
        <w:t xml:space="preserve">mutually </w:t>
      </w:r>
      <w:r w:rsidRPr="009507B3">
        <w:t xml:space="preserve">agreed by the CEC and the Recipient. If the CEC does not receive such repayments, it will be entitled to take </w:t>
      </w:r>
      <w:r w:rsidRPr="009507B3">
        <w:lastRenderedPageBreak/>
        <w:t xml:space="preserve">actions </w:t>
      </w:r>
      <w:r>
        <w:t xml:space="preserve">including but not limited to </w:t>
      </w:r>
      <w:r w:rsidRPr="009507B3">
        <w:t>withholding further payments to the Recipient and seeking repayment from the Recipient.</w:t>
      </w:r>
    </w:p>
    <w:p w14:paraId="35304641" w14:textId="77777777" w:rsidR="00674AE1" w:rsidRDefault="00674AE1" w:rsidP="00674AE1">
      <w:pPr>
        <w:pStyle w:val="Heading4"/>
        <w:numPr>
          <w:ilvl w:val="0"/>
          <w:numId w:val="62"/>
        </w:numPr>
        <w:tabs>
          <w:tab w:val="num" w:pos="360"/>
        </w:tabs>
        <w:ind w:left="0" w:firstLine="0"/>
      </w:pPr>
      <w:bookmarkStart w:id="97" w:name="_Toc243558505"/>
      <w:r>
        <w:t>Allowable Costs</w:t>
      </w:r>
      <w:bookmarkEnd w:id="97"/>
    </w:p>
    <w:p w14:paraId="1803F63F" w14:textId="467504CF" w:rsidR="00674AE1" w:rsidRDefault="00674AE1" w:rsidP="00674AE1">
      <w:r>
        <w:t>After an award is executed, costs incurred for the following activities are eligible for CEC reimbursement or as the Applicant’s match share:</w:t>
      </w:r>
    </w:p>
    <w:p w14:paraId="6B0A7F10" w14:textId="77777777" w:rsidR="00674AE1" w:rsidRPr="006760F8" w:rsidRDefault="00674AE1" w:rsidP="00674AE1">
      <w:pPr>
        <w:pStyle w:val="ListParagraph"/>
        <w:numPr>
          <w:ilvl w:val="0"/>
          <w:numId w:val="18"/>
        </w:numPr>
        <w:ind w:left="1080"/>
        <w:contextualSpacing w:val="0"/>
        <w:rPr>
          <w:bCs/>
          <w:iCs/>
        </w:rPr>
      </w:pPr>
      <w:r w:rsidRPr="006760F8">
        <w:rPr>
          <w:bCs/>
          <w:iCs/>
        </w:rPr>
        <w:t>Project pre-engineering and design.</w:t>
      </w:r>
    </w:p>
    <w:p w14:paraId="0CB98127" w14:textId="77777777" w:rsidR="00674AE1" w:rsidRPr="006760F8" w:rsidRDefault="00674AE1" w:rsidP="00674AE1">
      <w:pPr>
        <w:pStyle w:val="ListParagraph"/>
        <w:numPr>
          <w:ilvl w:val="0"/>
          <w:numId w:val="18"/>
        </w:numPr>
        <w:ind w:left="1080"/>
        <w:contextualSpacing w:val="0"/>
        <w:rPr>
          <w:bCs/>
          <w:iCs/>
        </w:rPr>
      </w:pPr>
      <w:r w:rsidRPr="006760F8">
        <w:rPr>
          <w:bCs/>
          <w:iCs/>
        </w:rPr>
        <w:t>Engineering plans and specifications.</w:t>
      </w:r>
    </w:p>
    <w:p w14:paraId="439C5DDB" w14:textId="77777777" w:rsidR="00674AE1" w:rsidRPr="006760F8" w:rsidRDefault="00674AE1" w:rsidP="00674AE1">
      <w:pPr>
        <w:pStyle w:val="ListParagraph"/>
        <w:numPr>
          <w:ilvl w:val="0"/>
          <w:numId w:val="18"/>
        </w:numPr>
        <w:ind w:left="1080"/>
        <w:contextualSpacing w:val="0"/>
        <w:rPr>
          <w:bCs/>
          <w:iCs/>
        </w:rPr>
      </w:pPr>
      <w:r w:rsidRPr="006760F8">
        <w:rPr>
          <w:bCs/>
          <w:iCs/>
        </w:rPr>
        <w:t>Project installation, construction, modifications, and/or commissioning.</w:t>
      </w:r>
    </w:p>
    <w:p w14:paraId="60C9663C" w14:textId="77777777" w:rsidR="00674AE1" w:rsidRPr="006760F8" w:rsidRDefault="00674AE1" w:rsidP="00674AE1">
      <w:pPr>
        <w:pStyle w:val="ListParagraph"/>
        <w:numPr>
          <w:ilvl w:val="0"/>
          <w:numId w:val="18"/>
        </w:numPr>
        <w:ind w:left="1080"/>
        <w:contextualSpacing w:val="0"/>
        <w:rPr>
          <w:bCs/>
          <w:iCs/>
        </w:rPr>
      </w:pPr>
      <w:r w:rsidRPr="006760F8">
        <w:rPr>
          <w:bCs/>
          <w:iCs/>
        </w:rPr>
        <w:t>Equipment acquisition.</w:t>
      </w:r>
    </w:p>
    <w:p w14:paraId="2963F72C" w14:textId="77777777" w:rsidR="00674AE1" w:rsidRPr="006760F8" w:rsidRDefault="00674AE1" w:rsidP="00674AE1">
      <w:pPr>
        <w:pStyle w:val="ListParagraph"/>
        <w:numPr>
          <w:ilvl w:val="0"/>
          <w:numId w:val="18"/>
        </w:numPr>
        <w:ind w:left="1080"/>
        <w:contextualSpacing w:val="0"/>
        <w:rPr>
          <w:bCs/>
          <w:iCs/>
        </w:rPr>
      </w:pPr>
      <w:r w:rsidRPr="006760F8">
        <w:rPr>
          <w:bCs/>
          <w:iCs/>
        </w:rPr>
        <w:t>Warranty and/or maintenance contract costs associated with eligible project cost equipment. The cost of this component is capped at 10% of the total claimed project costs.</w:t>
      </w:r>
    </w:p>
    <w:p w14:paraId="1B6B9F54" w14:textId="20DF7788" w:rsidR="002B0910" w:rsidRPr="00D4420B" w:rsidRDefault="00674AE1" w:rsidP="00BA7460">
      <w:r>
        <w:t xml:space="preserve">The CEC will not reimburse for costs related to land acquisition, environmental assessment or mitigation, or permitting, but </w:t>
      </w:r>
      <w:r w:rsidR="002A32A1">
        <w:t>these costs</w:t>
      </w:r>
      <w:r w:rsidR="002A32A1">
        <w:t xml:space="preserve"> </w:t>
      </w:r>
      <w:r>
        <w:t xml:space="preserve">may be counted towards the match share if the expenditure accrues after the NOPA is posted and before the Agreement </w:t>
      </w:r>
      <w:r w:rsidR="00A53B2C">
        <w:t>End</w:t>
      </w:r>
      <w:r>
        <w:t xml:space="preserve"> Date. </w:t>
      </w:r>
    </w:p>
    <w:p w14:paraId="65C6FB44" w14:textId="77777777" w:rsidR="00674AE1" w:rsidRDefault="00674AE1" w:rsidP="00674AE1">
      <w:pPr>
        <w:pStyle w:val="Heading4"/>
        <w:numPr>
          <w:ilvl w:val="0"/>
          <w:numId w:val="62"/>
        </w:numPr>
        <w:tabs>
          <w:tab w:val="num" w:pos="360"/>
        </w:tabs>
        <w:ind w:left="0" w:firstLine="0"/>
      </w:pPr>
      <w:bookmarkStart w:id="98" w:name="_Toc243558506"/>
      <w:r>
        <w:t>Unallowable Costs</w:t>
      </w:r>
      <w:bookmarkEnd w:id="98"/>
    </w:p>
    <w:p w14:paraId="1DA25F4F" w14:textId="544CB4CA" w:rsidR="00674AE1" w:rsidRPr="00A26848" w:rsidRDefault="00674AE1" w:rsidP="00674AE1">
      <w:r w:rsidRPr="00A26848">
        <w:t>For</w:t>
      </w:r>
      <w:r w:rsidRPr="00A26848" w:rsidDel="00A01DCA">
        <w:t xml:space="preserve"> </w:t>
      </w:r>
      <w:r>
        <w:t xml:space="preserve">the </w:t>
      </w:r>
      <w:r w:rsidRPr="00A26848">
        <w:t>cost</w:t>
      </w:r>
      <w:r>
        <w:t xml:space="preserve"> of</w:t>
      </w:r>
      <w:r w:rsidRPr="00A01DCA">
        <w:t xml:space="preserve"> </w:t>
      </w:r>
      <w:r w:rsidRPr="00A26848">
        <w:t>an item to be allowable for reimbursement with CEC funds</w:t>
      </w:r>
      <w:r w:rsidR="7DC346F6">
        <w:t xml:space="preserve"> or counted as match</w:t>
      </w:r>
      <w:r w:rsidRPr="00A26848">
        <w:t>, it must be included in the executed agreement budget and allowable per the terms and conditions of the resulting agreement. The following are examples of unallowable costs under an agreement resulting from this solicitation. This list is not comprehensive and additional items may be unallowable in accordance with the agreement terms and conditions.</w:t>
      </w:r>
    </w:p>
    <w:p w14:paraId="42084905" w14:textId="19D060E8" w:rsidR="00544A18" w:rsidRDefault="00674AE1" w:rsidP="00544A18">
      <w:pPr>
        <w:pStyle w:val="ListParagraph"/>
        <w:numPr>
          <w:ilvl w:val="0"/>
          <w:numId w:val="41"/>
        </w:numPr>
        <w:ind w:left="1080"/>
        <w:contextualSpacing w:val="0"/>
      </w:pPr>
      <w:r w:rsidRPr="00D4420B">
        <w:rPr>
          <w:b/>
          <w:iCs/>
        </w:rPr>
        <w:t>Discounted or Refunded Equipment Costs</w:t>
      </w:r>
      <w:r w:rsidRPr="00173271">
        <w:t xml:space="preserve"> – For example, a claim that equipment costs $10,000 but the grant recipient only pays $6,000 due to some “special” discount. The difference of $4,000 is not an allowable cost share expense. Another example is if the grant recipient pays $10,000 but the vendor refunds $4,000 – only the net $6,000 is an allowable item of cost.</w:t>
      </w:r>
    </w:p>
    <w:p w14:paraId="39D0B202" w14:textId="42346328" w:rsidR="00544A18" w:rsidRDefault="00674AE1" w:rsidP="00544A18">
      <w:pPr>
        <w:pStyle w:val="ListParagraph"/>
        <w:numPr>
          <w:ilvl w:val="0"/>
          <w:numId w:val="41"/>
        </w:numPr>
        <w:ind w:left="1080"/>
        <w:contextualSpacing w:val="0"/>
      </w:pPr>
      <w:r w:rsidRPr="00544A18">
        <w:rPr>
          <w:b/>
          <w:bCs/>
        </w:rPr>
        <w:t xml:space="preserve">Solar Photovoltaic Panels and Wind Turbines </w:t>
      </w:r>
      <w:r>
        <w:t>– Applicants are allowed to install solar photovoltaic (PV) panels and/or wind turbines for onsite generation if paired with an energy storage system. However, costs for the solar PV panels and wind turbines are not allowable, therefore the CEC will not reimburse Applicants for those items</w:t>
      </w:r>
      <w:r w:rsidR="41906BBE">
        <w:t xml:space="preserve">, nor are these costs </w:t>
      </w:r>
      <w:r>
        <w:t>allowable for match share.</w:t>
      </w:r>
    </w:p>
    <w:p w14:paraId="5049ADF7" w14:textId="60873162" w:rsidR="003F7A32" w:rsidRPr="00173271" w:rsidRDefault="003F7A32" w:rsidP="00544A18">
      <w:pPr>
        <w:pStyle w:val="ListParagraph"/>
        <w:numPr>
          <w:ilvl w:val="0"/>
          <w:numId w:val="41"/>
        </w:numPr>
        <w:ind w:left="1080"/>
        <w:contextualSpacing w:val="0"/>
      </w:pPr>
      <w:r w:rsidRPr="00544A18">
        <w:rPr>
          <w:b/>
          <w:bCs/>
        </w:rPr>
        <w:t>Software-Only Costs</w:t>
      </w:r>
      <w:r>
        <w:t xml:space="preserve"> –</w:t>
      </w:r>
      <w:r w:rsidR="00E5352C">
        <w:t>E</w:t>
      </w:r>
      <w:r w:rsidR="009B2715">
        <w:t xml:space="preserve">xpenditures </w:t>
      </w:r>
      <w:r w:rsidR="00457C59">
        <w:t>associated with</w:t>
      </w:r>
      <w:r w:rsidR="00962BA8">
        <w:t xml:space="preserve"> the</w:t>
      </w:r>
      <w:r w:rsidR="00457C59">
        <w:t xml:space="preserve"> </w:t>
      </w:r>
      <w:r w:rsidR="00945A1F">
        <w:t xml:space="preserve">purchase of </w:t>
      </w:r>
      <w:r w:rsidR="009B2715">
        <w:t>s</w:t>
      </w:r>
      <w:r w:rsidR="006F1C35">
        <w:t>oftware</w:t>
      </w:r>
      <w:r w:rsidR="00945A1F">
        <w:t xml:space="preserve"> as a </w:t>
      </w:r>
      <w:r w:rsidR="00B75BBF">
        <w:t xml:space="preserve">separate product or </w:t>
      </w:r>
      <w:r w:rsidR="00945A1F">
        <w:t>line item</w:t>
      </w:r>
      <w:r w:rsidR="00EC2BDA">
        <w:t>.</w:t>
      </w:r>
      <w:r w:rsidR="009B2715">
        <w:t xml:space="preserve"> </w:t>
      </w:r>
    </w:p>
    <w:p w14:paraId="171BD996" w14:textId="41F40927" w:rsidR="00674AE1" w:rsidRPr="00987B49" w:rsidRDefault="00674AE1" w:rsidP="00674AE1">
      <w:pPr>
        <w:pStyle w:val="ListParagraph"/>
        <w:numPr>
          <w:ilvl w:val="0"/>
          <w:numId w:val="41"/>
        </w:numPr>
        <w:ind w:left="1080"/>
        <w:contextualSpacing w:val="0"/>
      </w:pPr>
      <w:r w:rsidRPr="00D4420B">
        <w:rPr>
          <w:b/>
          <w:iCs/>
        </w:rPr>
        <w:lastRenderedPageBreak/>
        <w:t>Permitting Costs</w:t>
      </w:r>
      <w:r w:rsidRPr="00987B49">
        <w:rPr>
          <w:b/>
          <w:i/>
        </w:rPr>
        <w:t xml:space="preserve"> </w:t>
      </w:r>
      <w:r w:rsidRPr="00987B49">
        <w:t>– CEC will not reimburse expenditures for permitting or insurance</w:t>
      </w:r>
      <w:r w:rsidR="088F62D7">
        <w:t xml:space="preserve">, however the costs for permitting may be counted </w:t>
      </w:r>
      <w:r w:rsidR="7962173E">
        <w:t>as match</w:t>
      </w:r>
      <w:r w:rsidR="088F62D7">
        <w:t xml:space="preserve"> if incurred </w:t>
      </w:r>
      <w:r w:rsidR="4AFEFC3F">
        <w:t xml:space="preserve">according to Section </w:t>
      </w:r>
      <w:r w:rsidR="5E0B61E5">
        <w:t>I</w:t>
      </w:r>
      <w:r w:rsidR="0072423B">
        <w:t>.</w:t>
      </w:r>
      <w:r w:rsidR="4AFEFC3F">
        <w:t>E</w:t>
      </w:r>
      <w:r w:rsidR="0072423B">
        <w:t>.</w:t>
      </w:r>
      <w:r w:rsidR="4AFEFC3F">
        <w:t>3</w:t>
      </w:r>
      <w:r w:rsidR="0072423B">
        <w:t>.</w:t>
      </w:r>
      <w:r w:rsidR="4AFEFC3F">
        <w:t xml:space="preserve"> above</w:t>
      </w:r>
      <w:r w:rsidRPr="00987B49">
        <w:t>.</w:t>
      </w:r>
    </w:p>
    <w:p w14:paraId="22771806" w14:textId="6618EFAC" w:rsidR="00674AE1" w:rsidRDefault="00674AE1" w:rsidP="00674AE1">
      <w:pPr>
        <w:pStyle w:val="ListParagraph"/>
        <w:numPr>
          <w:ilvl w:val="0"/>
          <w:numId w:val="41"/>
        </w:numPr>
        <w:ind w:left="1080"/>
        <w:contextualSpacing w:val="0"/>
      </w:pPr>
      <w:r w:rsidRPr="00D4420B">
        <w:rPr>
          <w:b/>
          <w:bCs/>
        </w:rPr>
        <w:t>Environmental Mitigation Requirements or Compliance Obligations Imposed by Law</w:t>
      </w:r>
      <w:r w:rsidRPr="00E60FD6">
        <w:t xml:space="preserve"> –</w:t>
      </w:r>
      <w:r>
        <w:t xml:space="preserve"> Public Resources Code section 90105 requires that CEC funds shall not be expended to fulfill any environmental mitigation requirements or compliance obligations imposed by law</w:t>
      </w:r>
      <w:r w:rsidRPr="00E60FD6">
        <w:t>.</w:t>
      </w:r>
      <w:r>
        <w:t xml:space="preserve"> </w:t>
      </w:r>
      <w:r w:rsidR="7D1F7E4E">
        <w:t>H</w:t>
      </w:r>
      <w:r w:rsidR="642FA41F">
        <w:t>owever</w:t>
      </w:r>
      <w:r w:rsidR="5562282C">
        <w:t>,</w:t>
      </w:r>
      <w:r w:rsidR="642FA41F">
        <w:t xml:space="preserve"> the costs for mitigation or compliance may be counted </w:t>
      </w:r>
      <w:r w:rsidR="74CB8D7D">
        <w:t>as match</w:t>
      </w:r>
      <w:r w:rsidR="642FA41F">
        <w:t xml:space="preserve"> if incurred according to Section </w:t>
      </w:r>
      <w:r w:rsidR="162C1EC6">
        <w:t>I</w:t>
      </w:r>
      <w:r w:rsidR="00CA3FE6">
        <w:t>.</w:t>
      </w:r>
      <w:r w:rsidR="642FA41F">
        <w:t>E</w:t>
      </w:r>
      <w:r w:rsidR="00CA3FE6">
        <w:t>.</w:t>
      </w:r>
      <w:r w:rsidR="642FA41F">
        <w:t>3 above.</w:t>
      </w:r>
    </w:p>
    <w:p w14:paraId="756F30C1" w14:textId="2A957CFE" w:rsidR="00905836" w:rsidRDefault="00905836" w:rsidP="00674AE1">
      <w:pPr>
        <w:pStyle w:val="ListParagraph"/>
        <w:numPr>
          <w:ilvl w:val="0"/>
          <w:numId w:val="41"/>
        </w:numPr>
        <w:ind w:left="1080"/>
        <w:contextualSpacing w:val="0"/>
      </w:pPr>
      <w:r>
        <w:rPr>
          <w:b/>
          <w:bCs/>
        </w:rPr>
        <w:t xml:space="preserve">Building Code Compliance </w:t>
      </w:r>
      <w:r w:rsidR="00143826">
        <w:rPr>
          <w:b/>
          <w:bCs/>
        </w:rPr>
        <w:t>–</w:t>
      </w:r>
      <w:r>
        <w:t xml:space="preserve"> </w:t>
      </w:r>
      <w:r w:rsidR="00143826">
        <w:t>CEC f</w:t>
      </w:r>
      <w:r w:rsidR="004F2514">
        <w:t>unds may not be used to pay for any portion of equipment or capacity that is required to comply with applicable building or energy codes (including Title 24, Part 6 prescriptive requirements).</w:t>
      </w:r>
    </w:p>
    <w:p w14:paraId="4DE1716D" w14:textId="77777777" w:rsidR="00674AE1" w:rsidRPr="0034112D" w:rsidRDefault="00674AE1" w:rsidP="00674AE1">
      <w:pPr>
        <w:pStyle w:val="Heading4"/>
        <w:numPr>
          <w:ilvl w:val="0"/>
          <w:numId w:val="62"/>
        </w:numPr>
        <w:tabs>
          <w:tab w:val="num" w:pos="360"/>
        </w:tabs>
        <w:ind w:left="0" w:firstLine="0"/>
      </w:pPr>
      <w:bookmarkStart w:id="99" w:name="_Toc243558507"/>
      <w:r w:rsidRPr="003F6147">
        <w:t>Match Funding Requirement</w:t>
      </w:r>
      <w:bookmarkEnd w:id="99"/>
    </w:p>
    <w:p w14:paraId="5867A691" w14:textId="72FD97BB" w:rsidR="00674AE1" w:rsidRDefault="00674AE1" w:rsidP="00674AE1">
      <w:r>
        <w:t xml:space="preserve">Match funding is required in the amount of at least 25 percent of requested CEC funds. (Example: A project requesting $10,000,000 in CEC funding must contribute an additional minimum of $2,500,000 in match funds). </w:t>
      </w:r>
    </w:p>
    <w:p w14:paraId="4B1C0D1F" w14:textId="35B2CEA9" w:rsidR="007C4009" w:rsidRDefault="00293BEB" w:rsidP="00674AE1">
      <w:r>
        <w:t xml:space="preserve">For applications proposing projects </w:t>
      </w:r>
      <w:r w:rsidR="0072435A">
        <w:t>demonstrating</w:t>
      </w:r>
      <w:r>
        <w:t xml:space="preserve"> meaningful and direct benefits to Vulnerable Populations and (Severely) Disadvantaged Communities</w:t>
      </w:r>
      <w:r w:rsidR="00037DEE">
        <w:t xml:space="preserve"> (see Section II.</w:t>
      </w:r>
      <w:r w:rsidR="00DF1051">
        <w:t>B.</w:t>
      </w:r>
      <w:r w:rsidR="00037DEE">
        <w:t>8.b</w:t>
      </w:r>
      <w:r w:rsidR="00DF1051">
        <w:t>)</w:t>
      </w:r>
      <w:r w:rsidR="00281225">
        <w:t>,</w:t>
      </w:r>
      <w:r w:rsidR="002C334A">
        <w:t xml:space="preserve"> match funding is required in the amount of at least 10 percent of requested CEC funds.</w:t>
      </w:r>
      <w:r w:rsidR="00CC2BBE">
        <w:t xml:space="preserve"> For applications </w:t>
      </w:r>
      <w:r w:rsidR="002142C2">
        <w:t>proposing multiple locations, 100 percent of the subprojects m</w:t>
      </w:r>
      <w:r w:rsidR="003F4437">
        <w:t xml:space="preserve">ust </w:t>
      </w:r>
      <w:r w:rsidR="00EC0F47">
        <w:t xml:space="preserve">provide direct and meaningful </w:t>
      </w:r>
      <w:r w:rsidR="003F4437">
        <w:t>benefit</w:t>
      </w:r>
      <w:r w:rsidR="00EC0F47">
        <w:t>s</w:t>
      </w:r>
      <w:r w:rsidR="003F4437">
        <w:t xml:space="preserve"> </w:t>
      </w:r>
      <w:r w:rsidR="001816D3">
        <w:t xml:space="preserve">to </w:t>
      </w:r>
      <w:r w:rsidR="003F4437">
        <w:t>Vulnerable Populations and/or (Severely) Disadvantaged Communities</w:t>
      </w:r>
      <w:r w:rsidR="002142C2">
        <w:t xml:space="preserve"> to be eligible </w:t>
      </w:r>
      <w:r w:rsidR="008B1789">
        <w:t>for the 10 percent minimum match.</w:t>
      </w:r>
    </w:p>
    <w:p w14:paraId="163A5118" w14:textId="4410CC1B" w:rsidR="00661906" w:rsidRDefault="00AF285E" w:rsidP="00674AE1">
      <w:r>
        <w:t xml:space="preserve">Note that </w:t>
      </w:r>
      <w:r>
        <w:rPr>
          <w:szCs w:val="22"/>
        </w:rPr>
        <w:t>n</w:t>
      </w:r>
      <w:r w:rsidRPr="27F9579F">
        <w:rPr>
          <w:szCs w:val="22"/>
        </w:rPr>
        <w:t xml:space="preserve">o tasks completed after </w:t>
      </w:r>
      <w:r>
        <w:rPr>
          <w:szCs w:val="22"/>
        </w:rPr>
        <w:t>March</w:t>
      </w:r>
      <w:r w:rsidRPr="27F9579F">
        <w:rPr>
          <w:szCs w:val="22"/>
        </w:rPr>
        <w:t xml:space="preserve"> 3</w:t>
      </w:r>
      <w:r>
        <w:rPr>
          <w:szCs w:val="22"/>
        </w:rPr>
        <w:t>1</w:t>
      </w:r>
      <w:r w:rsidRPr="27F9579F">
        <w:rPr>
          <w:szCs w:val="22"/>
        </w:rPr>
        <w:t>, 2030, shall be reimbursed by CEC funds</w:t>
      </w:r>
      <w:r>
        <w:rPr>
          <w:szCs w:val="22"/>
        </w:rPr>
        <w:t xml:space="preserve"> (see Section I.E.2 “Award Funding and Disbursement Process” for details)</w:t>
      </w:r>
      <w:r w:rsidRPr="27F9579F">
        <w:rPr>
          <w:szCs w:val="22"/>
        </w:rPr>
        <w:t>.</w:t>
      </w:r>
      <w:r w:rsidRPr="002C43A2">
        <w:t xml:space="preserve"> </w:t>
      </w:r>
      <w:r>
        <w:t xml:space="preserve">If described in the Budget (Attachment 06) the Applicant may propose to count the costs of these tasks as match funds. </w:t>
      </w:r>
    </w:p>
    <w:p w14:paraId="0E4785D2" w14:textId="7CDC4C6B" w:rsidR="00DA521C" w:rsidRDefault="00AF285E" w:rsidP="00674AE1">
      <w:r w:rsidRPr="008576F7">
        <w:t xml:space="preserve"> </w:t>
      </w:r>
      <w:r w:rsidR="00674AE1" w:rsidRPr="008576F7">
        <w:t xml:space="preserve">“Match funding” or “match share” means cash or in-kind (non-cash) contributions provided by the Applicant/Recipient, subrecipients, or other parties that will be used in performance of the </w:t>
      </w:r>
      <w:r w:rsidR="00674AE1">
        <w:t>proposed project</w:t>
      </w:r>
      <w:r w:rsidR="00674AE1" w:rsidRPr="008576F7">
        <w:t xml:space="preserve">. </w:t>
      </w:r>
    </w:p>
    <w:p w14:paraId="2087454F" w14:textId="77777777" w:rsidR="00674AE1" w:rsidRDefault="00674AE1" w:rsidP="00674AE1">
      <w:r>
        <w:t>Definitions of “match funding” categories are listed below:</w:t>
      </w:r>
    </w:p>
    <w:p w14:paraId="007ABDDF" w14:textId="77777777" w:rsidR="00674AE1" w:rsidRDefault="00674AE1" w:rsidP="00674AE1">
      <w:pPr>
        <w:pStyle w:val="ListParagraph"/>
        <w:numPr>
          <w:ilvl w:val="0"/>
          <w:numId w:val="15"/>
        </w:numPr>
        <w:ind w:left="360"/>
        <w:contextualSpacing w:val="0"/>
      </w:pPr>
      <w:r>
        <w:t xml:space="preserve">“Cash” match </w:t>
      </w:r>
      <w:r w:rsidRPr="009B7AA1">
        <w:rPr>
          <w:szCs w:val="22"/>
        </w:rPr>
        <w:t xml:space="preserve">means funds that are in the grant recipient’s possession or proposed by a match partner and clearly identified in a support letter, and are reserved for the proposed project, meaning that they have not been committed for use or pledged as match for any other project. Cash match can include </w:t>
      </w:r>
      <w:r w:rsidRPr="009B7AA1">
        <w:t>funding awards earned or received from other agencies for the proposed technologies or study (but not for the identical work). Proof that the funds exist as cash is required. Cash match will be considered more favorably than in-kind contributions during the scoring phase</w:t>
      </w:r>
      <w:r>
        <w:t xml:space="preserve"> of the application evaluation process</w:t>
      </w:r>
      <w:r w:rsidDel="00385666">
        <w:t>.</w:t>
      </w:r>
    </w:p>
    <w:p w14:paraId="7FD2C323" w14:textId="77777777" w:rsidR="00674AE1" w:rsidRDefault="00674AE1" w:rsidP="00674AE1">
      <w:pPr>
        <w:pStyle w:val="ListParagraph"/>
        <w:numPr>
          <w:ilvl w:val="0"/>
          <w:numId w:val="15"/>
        </w:numPr>
        <w:ind w:left="360"/>
        <w:contextualSpacing w:val="0"/>
      </w:pPr>
      <w:r>
        <w:lastRenderedPageBreak/>
        <w:t xml:space="preserve">“In-Kind” match </w:t>
      </w:r>
      <w:r w:rsidRPr="009B7AA1">
        <w:t>can be in the form of goods or services that are not reimbursed with CEC funds such as labor (if reasonable and justified), donated space, existing equipment, existing supplies, services provided by a third-party or subrecipient, and other expendable property in support of the project. The value of in-kind match is based on the fair market value of the goods and services provided at the time it is claimed as match. The value of existing equipment must be prorated for its use in the project and depreciated or amortized over the term of the project using generally accepted accounting principles (GAAP). Labor rates for hours donated by non-employees who are not paid for their time must be consistent with those paid for similar work. Cost allocations must be reasonable and allocable to the proposed project. In-kind match share must be included in the agreement budget.</w:t>
      </w:r>
    </w:p>
    <w:p w14:paraId="53951F95" w14:textId="77777777" w:rsidR="00674AE1" w:rsidRPr="00A34941" w:rsidRDefault="00674AE1" w:rsidP="00674AE1">
      <w:pPr>
        <w:pStyle w:val="ListParagraph"/>
        <w:tabs>
          <w:tab w:val="left" w:pos="1080"/>
          <w:tab w:val="left" w:pos="1440"/>
          <w:tab w:val="left" w:pos="1530"/>
        </w:tabs>
        <w:spacing w:before="120"/>
        <w:ind w:left="360"/>
        <w:rPr>
          <w:szCs w:val="22"/>
        </w:rPr>
      </w:pPr>
      <w:r w:rsidRPr="00A34941">
        <w:rPr>
          <w:szCs w:val="22"/>
        </w:rPr>
        <w:t>The grant recipient is expected to maintain appropriate documentation to support the fair market value of all in-kind match</w:t>
      </w:r>
      <w:r>
        <w:rPr>
          <w:szCs w:val="22"/>
        </w:rPr>
        <w:t>,</w:t>
      </w:r>
      <w:r w:rsidRPr="00A34941">
        <w:rPr>
          <w:szCs w:val="22"/>
        </w:rPr>
        <w:t xml:space="preserve"> including </w:t>
      </w:r>
      <w:r>
        <w:rPr>
          <w:szCs w:val="22"/>
        </w:rPr>
        <w:t>services and materials</w:t>
      </w:r>
      <w:r w:rsidRPr="00A34941">
        <w:rPr>
          <w:szCs w:val="22"/>
        </w:rPr>
        <w:t xml:space="preserve"> donated by third parties or major subrecipients. </w:t>
      </w:r>
    </w:p>
    <w:p w14:paraId="1AE984E7" w14:textId="77777777" w:rsidR="00674AE1" w:rsidRPr="004E158A" w:rsidRDefault="00674AE1" w:rsidP="00674AE1">
      <w:r w:rsidRPr="2476638F">
        <w:rPr>
          <w:szCs w:val="24"/>
        </w:rPr>
        <w:t>Match share expenditures have the following requirements:</w:t>
      </w:r>
    </w:p>
    <w:p w14:paraId="0B9C495E" w14:textId="77777777" w:rsidR="00674AE1" w:rsidRDefault="00674AE1" w:rsidP="00674AE1">
      <w:pPr>
        <w:pStyle w:val="ListParagraph"/>
        <w:numPr>
          <w:ilvl w:val="0"/>
          <w:numId w:val="17"/>
        </w:numPr>
        <w:contextualSpacing w:val="0"/>
        <w:rPr>
          <w:szCs w:val="24"/>
        </w:rPr>
      </w:pPr>
      <w:r w:rsidRPr="00860D34">
        <w:rPr>
          <w:szCs w:val="24"/>
        </w:rPr>
        <w:t xml:space="preserve">All match share expenditures must conform to the terms and conditions of this solicitation and the resulting grant agreement. </w:t>
      </w:r>
    </w:p>
    <w:p w14:paraId="05B75E83" w14:textId="4A96008B" w:rsidR="00674AE1" w:rsidRPr="00FF0E4A" w:rsidRDefault="00674AE1" w:rsidP="00674AE1">
      <w:pPr>
        <w:numPr>
          <w:ilvl w:val="0"/>
          <w:numId w:val="17"/>
        </w:numPr>
        <w:tabs>
          <w:tab w:val="left" w:pos="1080"/>
        </w:tabs>
      </w:pPr>
      <w:r w:rsidRPr="009B7AA1">
        <w:t>Match funds must be spent</w:t>
      </w:r>
      <w:r w:rsidR="002E3F3F">
        <w:t xml:space="preserve"> only during the agreement term</w:t>
      </w:r>
      <w:r w:rsidR="005310DE">
        <w:t>, except as noted in Section I.E.2 “Award Funding and Disbursement Process,”</w:t>
      </w:r>
      <w:r w:rsidR="005310DE" w:rsidRPr="009B7AA1">
        <w:t xml:space="preserve"> </w:t>
      </w:r>
      <w:r w:rsidRPr="009B7AA1">
        <w:t xml:space="preserve">either before or concurrently with CEC funds or in accordance with an approved Match Fund Spending Plan. Match funds also must be </w:t>
      </w:r>
      <w:r w:rsidRPr="009B7AA1">
        <w:rPr>
          <w:szCs w:val="22"/>
        </w:rPr>
        <w:t>r</w:t>
      </w:r>
      <w:r w:rsidRPr="009B7AA1">
        <w:t>eported in invoices submitted to the CEC.</w:t>
      </w:r>
      <w:r w:rsidRPr="009B7AA1">
        <w:rPr>
          <w:b/>
        </w:rPr>
        <w:t xml:space="preserve"> </w:t>
      </w:r>
    </w:p>
    <w:p w14:paraId="66B18661" w14:textId="77777777" w:rsidR="00674AE1" w:rsidRPr="00092123" w:rsidRDefault="00674AE1" w:rsidP="00674AE1">
      <w:pPr>
        <w:pStyle w:val="ListParagraph"/>
        <w:numPr>
          <w:ilvl w:val="0"/>
          <w:numId w:val="17"/>
        </w:numPr>
        <w:contextualSpacing w:val="0"/>
        <w:rPr>
          <w:szCs w:val="22"/>
        </w:rPr>
      </w:pPr>
      <w:r w:rsidRPr="004E158A">
        <w:rPr>
          <w:szCs w:val="24"/>
        </w:rPr>
        <w:t>All applicants providing match funds must submit commitment letters</w:t>
      </w:r>
      <w:r>
        <w:rPr>
          <w:szCs w:val="24"/>
        </w:rPr>
        <w:t xml:space="preserve"> </w:t>
      </w:r>
      <w:r w:rsidRPr="00742C86">
        <w:rPr>
          <w:b/>
          <w:szCs w:val="24"/>
        </w:rPr>
        <w:t xml:space="preserve">at the time of application </w:t>
      </w:r>
      <w:r w:rsidRPr="004E158A">
        <w:rPr>
          <w:szCs w:val="24"/>
        </w:rPr>
        <w:t xml:space="preserve">that: (1) identify the source(s) of the funds; (2) justify the dollar value claimed; (3) provide an unqualified (i.e., without reservation or limitation) commitment that guarantees the availability of the funds for the project; and (4) provide a strategy for replacing the funds if they are significantly reduced or lost. Please </w:t>
      </w:r>
      <w:r w:rsidRPr="00092123">
        <w:rPr>
          <w:szCs w:val="24"/>
        </w:rPr>
        <w:t>see Attachment 09, Commitment and Support Letter Form.</w:t>
      </w:r>
      <w:r>
        <w:rPr>
          <w:szCs w:val="24"/>
        </w:rPr>
        <w:t xml:space="preserve"> </w:t>
      </w:r>
    </w:p>
    <w:p w14:paraId="437D1952" w14:textId="77777777" w:rsidR="00674AE1" w:rsidRPr="009B7AA1" w:rsidRDefault="00674AE1" w:rsidP="00674AE1">
      <w:pPr>
        <w:numPr>
          <w:ilvl w:val="0"/>
          <w:numId w:val="17"/>
        </w:numPr>
        <w:tabs>
          <w:tab w:val="left" w:pos="1080"/>
        </w:tabs>
        <w:suppressAutoHyphens/>
      </w:pPr>
      <w:r w:rsidRPr="009B7AA1">
        <w:t>Any match pledged in an application must be consistent. For example, in the ECAMS system and in the Budget Attachment applicants will be asked to enter the project’s total match funding. The amounts listed in those places should be consistent with the amount or dollar value described in the commitment letter(s) (e.g., if $5,000 “cash in hand” funds are pledged in a commitment letter, the match amounts entered in the ECAMS system and in the Budget must match this amount). If the amounts listed in an application are inconsistent, the total amount pledged in the commitment letter(s) will be considered for match funding points.</w:t>
      </w:r>
    </w:p>
    <w:p w14:paraId="2CD0398D" w14:textId="355D05A4" w:rsidR="00674AE1" w:rsidRPr="00C2341E" w:rsidRDefault="00674AE1" w:rsidP="00C2341E">
      <w:pPr>
        <w:pStyle w:val="ListParagraph"/>
        <w:numPr>
          <w:ilvl w:val="0"/>
          <w:numId w:val="17"/>
        </w:numPr>
        <w:spacing w:after="0"/>
        <w:contextualSpacing w:val="0"/>
        <w:rPr>
          <w:szCs w:val="22"/>
        </w:rPr>
      </w:pPr>
      <w:r w:rsidRPr="00A779D0">
        <w:rPr>
          <w:szCs w:val="22"/>
        </w:rPr>
        <w:t xml:space="preserve">Equipment may count as match funds </w:t>
      </w:r>
      <w:proofErr w:type="gramStart"/>
      <w:r w:rsidRPr="00A779D0">
        <w:rPr>
          <w:szCs w:val="22"/>
        </w:rPr>
        <w:t>as long as</w:t>
      </w:r>
      <w:proofErr w:type="gramEnd"/>
      <w:r w:rsidRPr="00A779D0">
        <w:rPr>
          <w:szCs w:val="22"/>
        </w:rPr>
        <w:t xml:space="preserve"> the value of the contribution is based on documented market values or book values, prorated for its use in </w:t>
      </w:r>
      <w:r w:rsidRPr="00A779D0">
        <w:rPr>
          <w:szCs w:val="22"/>
        </w:rPr>
        <w:lastRenderedPageBreak/>
        <w:t>the project, and depreciated or amortized over the term of the project using generally accepted accounting principles (GAAP).</w:t>
      </w:r>
    </w:p>
    <w:p w14:paraId="4B3CA74B" w14:textId="77777777" w:rsidR="00674AE1" w:rsidRPr="00F052F3" w:rsidRDefault="00674AE1" w:rsidP="00674AE1">
      <w:pPr>
        <w:pStyle w:val="Heading4"/>
        <w:numPr>
          <w:ilvl w:val="0"/>
          <w:numId w:val="62"/>
        </w:numPr>
        <w:tabs>
          <w:tab w:val="num" w:pos="360"/>
        </w:tabs>
        <w:ind w:left="0" w:firstLine="0"/>
      </w:pPr>
      <w:bookmarkStart w:id="100" w:name="_Toc243558508"/>
      <w:r w:rsidRPr="00F052F3">
        <w:t>Match Share Restrictions</w:t>
      </w:r>
      <w:bookmarkEnd w:id="100"/>
    </w:p>
    <w:p w14:paraId="70EAD69D"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Other Sources of CEC Funding – Other sources of CEC funding may not be claimed as match share. This includes block grants funded by the CEC.</w:t>
      </w:r>
    </w:p>
    <w:p w14:paraId="7C38343A"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Property Not Owned by the Applicant – Donated property may be claimed as match based on the fair market value of renting or leasing the property. Fair market value is based on rental costs of comparable property (if any), market conditions in the area, alternatives available and the type, life expectancy, condition, and value of the property.</w:t>
      </w:r>
    </w:p>
    <w:p w14:paraId="13388431"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Existing Property Owned by the Grant Recipient – Applicants may use the property’s depreciation expense as a method to allocate the value of the property to the project. Valuation will need to be documented to support the initial acquisition costs as well as the method of depreciation.</w:t>
      </w:r>
    </w:p>
    <w:p w14:paraId="7A340DA9"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 xml:space="preserve">Valuation of Land – Land cannot be depreciated. If the value of land is claimed as match, the Applicant must provide documentation to support a fair market value for the use of the land (i.e., rent or lease cost) for the </w:t>
      </w:r>
      <w:proofErr w:type="gramStart"/>
      <w:r w:rsidRPr="004240A9">
        <w:rPr>
          <w:rFonts w:cs="Tahoma"/>
          <w:szCs w:val="24"/>
        </w:rPr>
        <w:t>time period</w:t>
      </w:r>
      <w:proofErr w:type="gramEnd"/>
      <w:r w:rsidRPr="004240A9">
        <w:rPr>
          <w:rFonts w:cs="Tahoma"/>
          <w:szCs w:val="24"/>
        </w:rPr>
        <w:t xml:space="preserve"> it is used. Appraised value of land cannot be used since this represents the full value of the land if it is sold which includes value beyond the term of the project.</w:t>
      </w:r>
    </w:p>
    <w:p w14:paraId="39FCFFA3"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 xml:space="preserve">Property Owned by a Related Party – Related parties are individuals or other entities that </w:t>
      </w:r>
      <w:proofErr w:type="gramStart"/>
      <w:r w:rsidRPr="004240A9">
        <w:rPr>
          <w:rFonts w:cs="Tahoma"/>
          <w:szCs w:val="24"/>
        </w:rPr>
        <w:t>are able to</w:t>
      </w:r>
      <w:proofErr w:type="gramEnd"/>
      <w:r w:rsidRPr="004240A9">
        <w:rPr>
          <w:rFonts w:cs="Tahoma"/>
          <w:szCs w:val="24"/>
        </w:rPr>
        <w:t xml:space="preserve"> control or substantially influence the actions of the Applicant and include spouses, board members, family members of principals or employees of the Applicant as well as property owned by principals/employees of the Applicant. Because an agreement between an Applicant and a related party is a “less than arms-length” transaction, Applicants must disclose the relationship between the Applicant and the related party and be able to support the fair market value of property that is claimed as match.</w:t>
      </w:r>
    </w:p>
    <w:p w14:paraId="39E7D1C7" w14:textId="77777777" w:rsidR="00674AE1" w:rsidRPr="004240A9" w:rsidRDefault="00674AE1" w:rsidP="00674AE1">
      <w:pPr>
        <w:pStyle w:val="ListParagraph"/>
        <w:numPr>
          <w:ilvl w:val="0"/>
          <w:numId w:val="64"/>
        </w:numPr>
        <w:spacing w:before="80" w:after="80"/>
        <w:contextualSpacing w:val="0"/>
      </w:pPr>
      <w:r w:rsidRPr="004240A9">
        <w:t>If CEC funds are used to reimburse lease/rental payments for property owned by a related party, the Applicant can only claim the lesser of fair market value or actual lease payments, regardless of lease agreement terms.</w:t>
      </w:r>
    </w:p>
    <w:p w14:paraId="0D6796AA"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Prorated Value of Property – The allowable claimed value of property must be prorated based on the percentage the property is used for the project. For example, if only half of a building is being used for the project, then only 50% of the monthly fair market value of the entire building can be claimed as match while the building is being used for the project.</w:t>
      </w:r>
    </w:p>
    <w:p w14:paraId="5A0BA34A" w14:textId="77777777" w:rsidR="00674AE1" w:rsidRPr="004240A9" w:rsidRDefault="00674AE1" w:rsidP="00674AE1">
      <w:pPr>
        <w:pStyle w:val="ListParagraph"/>
        <w:numPr>
          <w:ilvl w:val="0"/>
          <w:numId w:val="64"/>
        </w:numPr>
        <w:spacing w:before="80" w:after="80"/>
        <w:contextualSpacing w:val="0"/>
        <w:rPr>
          <w:rFonts w:cs="Tahoma"/>
          <w:szCs w:val="24"/>
        </w:rPr>
      </w:pPr>
      <w:r w:rsidRPr="004240A9">
        <w:rPr>
          <w:rFonts w:cs="Tahoma"/>
          <w:szCs w:val="24"/>
        </w:rPr>
        <w:t xml:space="preserve">Documentation – If selected for an award, all claimed match share expenditures must be adequately documented to CEC during the agreement invoicing process which may include but is not limited </w:t>
      </w:r>
      <w:proofErr w:type="gramStart"/>
      <w:r w:rsidRPr="004240A9">
        <w:rPr>
          <w:rFonts w:cs="Tahoma"/>
          <w:szCs w:val="24"/>
        </w:rPr>
        <w:t>to:</w:t>
      </w:r>
      <w:proofErr w:type="gramEnd"/>
      <w:r w:rsidRPr="004240A9">
        <w:rPr>
          <w:rFonts w:cs="Tahoma"/>
          <w:szCs w:val="24"/>
        </w:rPr>
        <w:t xml:space="preserve"> the fair market </w:t>
      </w:r>
      <w:r w:rsidRPr="004240A9">
        <w:rPr>
          <w:rFonts w:cs="Tahoma"/>
          <w:szCs w:val="24"/>
        </w:rPr>
        <w:lastRenderedPageBreak/>
        <w:t>value of existing property, methodology to allocate existing property on a prorated basis, lease agreements, and other appropriate documentation.</w:t>
      </w:r>
    </w:p>
    <w:p w14:paraId="0B843C2E" w14:textId="77777777" w:rsidR="00674AE1" w:rsidRDefault="00674AE1" w:rsidP="00674AE1">
      <w:pPr>
        <w:pStyle w:val="Heading4"/>
        <w:numPr>
          <w:ilvl w:val="0"/>
          <w:numId w:val="62"/>
        </w:numPr>
        <w:tabs>
          <w:tab w:val="num" w:pos="360"/>
        </w:tabs>
        <w:ind w:left="0" w:firstLine="0"/>
      </w:pPr>
      <w:bookmarkStart w:id="101" w:name="_Toc243558509"/>
      <w:r>
        <w:t>Proposition 4 Funding Restrictions</w:t>
      </w:r>
      <w:bookmarkEnd w:id="101"/>
    </w:p>
    <w:p w14:paraId="6B057292" w14:textId="77777777" w:rsidR="00674AE1" w:rsidRDefault="00674AE1" w:rsidP="00674AE1">
      <w:r>
        <w:t xml:space="preserve">Public Resources Code section 94510 requires: </w:t>
      </w:r>
    </w:p>
    <w:p w14:paraId="4B093E47" w14:textId="77777777" w:rsidR="00674AE1" w:rsidRPr="00161436" w:rsidRDefault="00674AE1" w:rsidP="00674AE1">
      <w:pPr>
        <w:rPr>
          <w:i/>
          <w:iCs/>
        </w:rPr>
      </w:pPr>
      <w:r w:rsidRPr="00161436">
        <w:rPr>
          <w:i/>
          <w:iCs/>
        </w:rPr>
        <w:t>(a) The proportion of any asset funded pursuant to this section or Section 94520 or 94530 shall be funded without return on equity for the lifetime of the proportion of that asset that would have otherwise been borne by ratepayers.</w:t>
      </w:r>
    </w:p>
    <w:p w14:paraId="3CA711B8" w14:textId="77777777" w:rsidR="00674AE1" w:rsidRPr="00161436" w:rsidRDefault="00674AE1" w:rsidP="00674AE1">
      <w:pPr>
        <w:rPr>
          <w:i/>
          <w:iCs/>
        </w:rPr>
      </w:pPr>
      <w:r w:rsidRPr="00161436">
        <w:rPr>
          <w:i/>
          <w:iCs/>
        </w:rPr>
        <w:t xml:space="preserve">(b) The proportion of any projects funded pursuant to this section or Section 94520 or 94530 shall be excluded from the </w:t>
      </w:r>
      <w:proofErr w:type="spellStart"/>
      <w:r w:rsidRPr="00161436">
        <w:rPr>
          <w:i/>
          <w:iCs/>
        </w:rPr>
        <w:t>ratebase</w:t>
      </w:r>
      <w:proofErr w:type="spellEnd"/>
      <w:r w:rsidRPr="00161436">
        <w:rPr>
          <w:i/>
          <w:iCs/>
        </w:rPr>
        <w:t>, and no costs may be collected from ratepayers.</w:t>
      </w:r>
    </w:p>
    <w:p w14:paraId="4CC91D1C" w14:textId="756D20E1" w:rsidR="00F14F42" w:rsidRPr="00DF7347" w:rsidRDefault="00674AE1" w:rsidP="001707B6">
      <w:pPr>
        <w:rPr>
          <w:i/>
        </w:rPr>
      </w:pPr>
      <w:r w:rsidRPr="00161436">
        <w:rPr>
          <w:i/>
          <w:iCs/>
        </w:rPr>
        <w:t>(c) It is the intent of the Legislature that bond moneys shall not be used for shareholder incentives or profits for shareholders of private corporations.</w:t>
      </w:r>
      <w:r w:rsidR="00413960">
        <w:rPr>
          <w:i/>
          <w:iCs/>
        </w:rPr>
        <w:t xml:space="preserve"> </w:t>
      </w:r>
    </w:p>
    <w:p w14:paraId="685649C8" w14:textId="504CBAB6" w:rsidR="00674AE1" w:rsidRPr="0038060A" w:rsidRDefault="30218C43">
      <w:r>
        <w:t xml:space="preserve">Additionally, refer to </w:t>
      </w:r>
      <w:r w:rsidR="384B638D">
        <w:t xml:space="preserve">Section </w:t>
      </w:r>
      <w:r w:rsidR="5FE69D7D">
        <w:t>III</w:t>
      </w:r>
      <w:r w:rsidR="0072423B">
        <w:t>.</w:t>
      </w:r>
      <w:r w:rsidR="384B638D">
        <w:t>D</w:t>
      </w:r>
      <w:r w:rsidR="0072423B">
        <w:t>.</w:t>
      </w:r>
      <w:r w:rsidR="384B638D">
        <w:t>6</w:t>
      </w:r>
      <w:r w:rsidR="0072423B">
        <w:t>.</w:t>
      </w:r>
      <w:r w:rsidR="384B638D">
        <w:t>f</w:t>
      </w:r>
      <w:r w:rsidR="00FD26E4">
        <w:t xml:space="preserve">. </w:t>
      </w:r>
      <w:r w:rsidR="384B638D">
        <w:t>for further explanation on the limitation</w:t>
      </w:r>
      <w:r w:rsidR="755D4F06">
        <w:t>s</w:t>
      </w:r>
      <w:r w:rsidR="384B638D">
        <w:t xml:space="preserve"> on profits. </w:t>
      </w:r>
    </w:p>
    <w:p w14:paraId="1E38C484" w14:textId="065B568D" w:rsidR="00674AE1" w:rsidRPr="0038060A" w:rsidRDefault="00674AE1" w:rsidP="00674AE1">
      <w:r>
        <w:t>Applications must certify the above provisions will be adhered to and propose a clear and detailed accounting methodology for meeting the above requirements.</w:t>
      </w:r>
    </w:p>
    <w:p w14:paraId="02D7C3F7" w14:textId="77777777" w:rsidR="00674AE1" w:rsidRDefault="00674AE1" w:rsidP="00674AE1">
      <w:pPr>
        <w:pStyle w:val="Heading4"/>
        <w:numPr>
          <w:ilvl w:val="0"/>
          <w:numId w:val="62"/>
        </w:numPr>
        <w:tabs>
          <w:tab w:val="num" w:pos="360"/>
        </w:tabs>
        <w:ind w:left="0" w:firstLine="0"/>
      </w:pPr>
      <w:bookmarkStart w:id="102" w:name="_Toc243558510"/>
      <w:r w:rsidRPr="003F6147">
        <w:t xml:space="preserve">Change in </w:t>
      </w:r>
      <w:r>
        <w:t>F</w:t>
      </w:r>
      <w:r w:rsidRPr="003F6147">
        <w:t xml:space="preserve">unding </w:t>
      </w:r>
      <w:r>
        <w:t>A</w:t>
      </w:r>
      <w:r w:rsidRPr="003F6147">
        <w:t>mount</w:t>
      </w:r>
      <w:bookmarkEnd w:id="102"/>
    </w:p>
    <w:p w14:paraId="2A857D33" w14:textId="77777777" w:rsidR="00674AE1" w:rsidRPr="00A60659" w:rsidRDefault="00674AE1" w:rsidP="00674AE1">
      <w:pPr>
        <w:pStyle w:val="HeadingNew1"/>
        <w:rPr>
          <w:b w:val="0"/>
          <w:bCs/>
        </w:rPr>
      </w:pPr>
      <w:r w:rsidRPr="00A60659">
        <w:rPr>
          <w:b w:val="0"/>
          <w:bCs/>
        </w:rPr>
        <w:t>Along with any other rights and remedies available to it, the CEC reserves the right to:</w:t>
      </w:r>
    </w:p>
    <w:p w14:paraId="5E20D649" w14:textId="77777777" w:rsidR="00674AE1" w:rsidRDefault="00674AE1" w:rsidP="00674AE1">
      <w:pPr>
        <w:pStyle w:val="ListParagraph"/>
        <w:numPr>
          <w:ilvl w:val="3"/>
          <w:numId w:val="10"/>
        </w:numPr>
        <w:ind w:left="360"/>
        <w:contextualSpacing w:val="0"/>
      </w:pPr>
      <w:r w:rsidRPr="003F6147">
        <w:t>Increase or decrease the available funding and the minimum/maximum</w:t>
      </w:r>
      <w:r>
        <w:t xml:space="preserve"> grant</w:t>
      </w:r>
      <w:r w:rsidRPr="003F6147">
        <w:t xml:space="preserve"> award amounts described in this section</w:t>
      </w:r>
      <w:r>
        <w:t>.</w:t>
      </w:r>
    </w:p>
    <w:p w14:paraId="2CC98750" w14:textId="77777777" w:rsidR="00674AE1" w:rsidRDefault="00674AE1" w:rsidP="00674AE1">
      <w:pPr>
        <w:pStyle w:val="ListParagraph"/>
        <w:numPr>
          <w:ilvl w:val="3"/>
          <w:numId w:val="10"/>
        </w:numPr>
        <w:ind w:left="360"/>
        <w:contextualSpacing w:val="0"/>
      </w:pPr>
      <w:r w:rsidRPr="003F6147">
        <w:t>Allocate any additional or unawarded funds to passing applications, in rank order.</w:t>
      </w:r>
    </w:p>
    <w:p w14:paraId="4A58C4E7" w14:textId="77777777" w:rsidR="00674AE1" w:rsidRDefault="00674AE1" w:rsidP="00674AE1">
      <w:pPr>
        <w:pStyle w:val="ListParagraph"/>
        <w:numPr>
          <w:ilvl w:val="3"/>
          <w:numId w:val="10"/>
        </w:numPr>
        <w:ind w:left="360"/>
        <w:contextualSpacing w:val="0"/>
      </w:pPr>
      <w:r>
        <w:t>Reduce funding to an appropriate amount if the budgeted funds do not provide full funding for agreements. In this event, the proposed grant recipient and Commission Agreement Manager (CAM) will attempt to reach agreement on a reduced Scope of Work commensurate with available funding.</w:t>
      </w:r>
    </w:p>
    <w:p w14:paraId="4A86BEA3" w14:textId="77777777" w:rsidR="00674AE1" w:rsidRPr="00756BAC" w:rsidRDefault="00674AE1" w:rsidP="00B6721C">
      <w:pPr>
        <w:pStyle w:val="Heading3"/>
        <w:ind w:left="0"/>
      </w:pPr>
      <w:bookmarkStart w:id="103" w:name="_Toc184829617"/>
      <w:bookmarkStart w:id="104" w:name="_Toc336443625"/>
      <w:bookmarkStart w:id="105" w:name="_Toc366671181"/>
      <w:bookmarkStart w:id="106" w:name="_Toc219275088"/>
      <w:bookmarkStart w:id="107" w:name="_Toc243558511"/>
      <w:bookmarkEnd w:id="88"/>
      <w:bookmarkEnd w:id="89"/>
      <w:r w:rsidRPr="00756BAC">
        <w:t>Notice of Pre-Application Workshop</w:t>
      </w:r>
      <w:bookmarkEnd w:id="107"/>
    </w:p>
    <w:p w14:paraId="4B8733D2" w14:textId="700A5FC8" w:rsidR="00992C04" w:rsidRPr="003F6147" w:rsidRDefault="00992C04" w:rsidP="00F54545">
      <w:r>
        <w:t xml:space="preserve">CEC staff will hold one Pre-Application Workshop to discuss this solicitation with potential applicants. Participation is optional but encouraged. The Pre-Application Workshop will be held remotely. Applicants may attend the workshop via the internet (Zoom, see instructions below), or via conference call on the date and at the time and location listed below. Please refer to the </w:t>
      </w:r>
      <w:hyperlink r:id="rId24" w:history="1">
        <w:r w:rsidRPr="00ED5073">
          <w:rPr>
            <w:rStyle w:val="Hyperlink"/>
            <w:rFonts w:cs="Arial"/>
          </w:rPr>
          <w:t xml:space="preserve">CEC's </w:t>
        </w:r>
        <w:r w:rsidR="00CD3541" w:rsidRPr="00ED5073">
          <w:rPr>
            <w:rStyle w:val="Hyperlink"/>
            <w:rFonts w:cs="Arial"/>
          </w:rPr>
          <w:t>Solicitat</w:t>
        </w:r>
        <w:r w:rsidR="00CD3541" w:rsidRPr="00ED5073">
          <w:rPr>
            <w:rStyle w:val="Hyperlink"/>
            <w:rFonts w:cs="Arial"/>
          </w:rPr>
          <w:t>i</w:t>
        </w:r>
        <w:r w:rsidR="00CD3541" w:rsidRPr="00ED5073">
          <w:rPr>
            <w:rStyle w:val="Hyperlink"/>
            <w:rFonts w:cs="Arial"/>
          </w:rPr>
          <w:t>on</w:t>
        </w:r>
        <w:r w:rsidR="00ED5073" w:rsidRPr="00ED5073">
          <w:rPr>
            <w:rStyle w:val="Hyperlink"/>
            <w:rFonts w:cs="Arial"/>
          </w:rPr>
          <w:t>s</w:t>
        </w:r>
      </w:hyperlink>
      <w:r w:rsidR="00CD3541">
        <w:t xml:space="preserve"> webpage</w:t>
      </w:r>
      <w:r>
        <w:t xml:space="preserve"> to confirm the date and time. </w:t>
      </w:r>
      <w:r w:rsidRPr="00C81AA2">
        <w:t>Please be aware that the meeting will be recorded.</w:t>
      </w:r>
    </w:p>
    <w:p w14:paraId="1CDBE92A" w14:textId="77777777" w:rsidR="00992C04" w:rsidRDefault="00992C04" w:rsidP="00992C04">
      <w:pPr>
        <w:spacing w:after="0"/>
        <w:rPr>
          <w:b/>
        </w:rPr>
      </w:pPr>
    </w:p>
    <w:p w14:paraId="3B8CBCFC" w14:textId="63326E4A" w:rsidR="00992C04" w:rsidRPr="00F27ADD" w:rsidRDefault="00992C04" w:rsidP="00992C04">
      <w:pPr>
        <w:spacing w:after="0"/>
        <w:rPr>
          <w:b/>
        </w:rPr>
      </w:pPr>
      <w:r w:rsidRPr="00F27ADD">
        <w:rPr>
          <w:b/>
        </w:rPr>
        <w:t xml:space="preserve">Date and time: </w:t>
      </w:r>
      <w:r w:rsidR="008C5AA6" w:rsidRPr="00A8337A">
        <w:t>November 5</w:t>
      </w:r>
      <w:r w:rsidRPr="00A8337A">
        <w:t xml:space="preserve">, 2026, at </w:t>
      </w:r>
      <w:r w:rsidR="008C5AA6" w:rsidRPr="00A8337A">
        <w:t>1</w:t>
      </w:r>
      <w:r w:rsidRPr="00A8337A">
        <w:t xml:space="preserve">:00 </w:t>
      </w:r>
      <w:r w:rsidR="008C5AA6" w:rsidRPr="00A8337A">
        <w:t>P</w:t>
      </w:r>
      <w:r w:rsidRPr="00A8337A">
        <w:t xml:space="preserve">M </w:t>
      </w:r>
    </w:p>
    <w:p w14:paraId="213AE963" w14:textId="77777777" w:rsidR="00992C04" w:rsidRPr="00F27ADD" w:rsidRDefault="00992C04" w:rsidP="00992C04">
      <w:pPr>
        <w:spacing w:after="0"/>
        <w:jc w:val="both"/>
        <w:rPr>
          <w:b/>
          <w:u w:val="single"/>
        </w:rPr>
      </w:pPr>
    </w:p>
    <w:p w14:paraId="6C184CA2" w14:textId="77777777" w:rsidR="00992C04" w:rsidRPr="00F27ADD" w:rsidRDefault="00992C04" w:rsidP="00992C04">
      <w:pPr>
        <w:tabs>
          <w:tab w:val="left" w:pos="1080"/>
        </w:tabs>
        <w:jc w:val="both"/>
        <w:rPr>
          <w:b/>
        </w:rPr>
      </w:pPr>
      <w:r w:rsidRPr="00F27ADD">
        <w:rPr>
          <w:b/>
        </w:rPr>
        <w:t>Zoom Instructions:</w:t>
      </w:r>
    </w:p>
    <w:p w14:paraId="7B40E29A" w14:textId="1DBD8772" w:rsidR="00992C04" w:rsidRPr="00F27ADD" w:rsidRDefault="00992C04" w:rsidP="00F54545">
      <w:pPr>
        <w:tabs>
          <w:tab w:val="left" w:pos="810"/>
        </w:tabs>
      </w:pPr>
      <w:r w:rsidRPr="00F27ADD">
        <w:lastRenderedPageBreak/>
        <w:t xml:space="preserve">To join the Zoom </w:t>
      </w:r>
      <w:r w:rsidR="00E7024F">
        <w:t>webinar</w:t>
      </w:r>
      <w:r w:rsidRPr="00F27ADD">
        <w:t xml:space="preserve">, go to </w:t>
      </w:r>
      <w:hyperlink r:id="rId25" w:history="1">
        <w:r w:rsidRPr="00F27ADD">
          <w:rPr>
            <w:rStyle w:val="Hyperlink"/>
          </w:rPr>
          <w:t>https://energy.zoom.us/join</w:t>
        </w:r>
      </w:hyperlink>
      <w:r w:rsidRPr="00F27ADD">
        <w:t xml:space="preserve"> and enter the Meeting ID below and select “join from your browser.” Participants will then enter the meeting password listed below and their name. Participants will select the “Join” button.:  </w:t>
      </w:r>
    </w:p>
    <w:p w14:paraId="0342229D" w14:textId="50A840DC" w:rsidR="00992C04" w:rsidRPr="00F27ADD" w:rsidRDefault="00E53DD7" w:rsidP="00992C04">
      <w:pPr>
        <w:tabs>
          <w:tab w:val="left" w:pos="900"/>
        </w:tabs>
        <w:spacing w:after="0"/>
        <w:ind w:left="720" w:firstLine="360"/>
      </w:pPr>
      <w:r>
        <w:rPr>
          <w:b/>
        </w:rPr>
        <w:t>Webinar</w:t>
      </w:r>
      <w:r w:rsidR="00992C04" w:rsidRPr="00F27ADD">
        <w:rPr>
          <w:b/>
        </w:rPr>
        <w:t xml:space="preserve"> ID:</w:t>
      </w:r>
      <w:r w:rsidR="00992C04" w:rsidRPr="00F27ADD">
        <w:t xml:space="preserve"> </w:t>
      </w:r>
      <w:r w:rsidRPr="00E53DD7">
        <w:t>851 4646 0759</w:t>
      </w:r>
    </w:p>
    <w:p w14:paraId="16DE036C" w14:textId="1B12258A" w:rsidR="00992C04" w:rsidRPr="00F27ADD" w:rsidRDefault="00E53DD7" w:rsidP="00992C04">
      <w:pPr>
        <w:spacing w:after="0"/>
        <w:ind w:left="360" w:firstLine="720"/>
      </w:pPr>
      <w:r>
        <w:rPr>
          <w:b/>
        </w:rPr>
        <w:t>Webinar</w:t>
      </w:r>
      <w:r w:rsidR="00992C04" w:rsidRPr="00F27ADD">
        <w:rPr>
          <w:b/>
        </w:rPr>
        <w:t xml:space="preserve"> Password:</w:t>
      </w:r>
      <w:r w:rsidR="00992C04" w:rsidRPr="00F27ADD">
        <w:t xml:space="preserve"> </w:t>
      </w:r>
      <w:r w:rsidR="43632579" w:rsidRPr="5F8A21E0">
        <w:rPr>
          <w:rFonts w:eastAsia="Tahoma" w:cs="Tahoma"/>
        </w:rPr>
        <w:t>624195</w:t>
      </w:r>
    </w:p>
    <w:p w14:paraId="5E361402" w14:textId="7E30476C" w:rsidR="00992C04" w:rsidRPr="003D2056" w:rsidRDefault="00992C04" w:rsidP="00992C04">
      <w:pPr>
        <w:ind w:left="360" w:firstLine="720"/>
      </w:pPr>
      <w:r w:rsidRPr="00E53DD7">
        <w:rPr>
          <w:b/>
        </w:rPr>
        <w:t>Topic:</w:t>
      </w:r>
      <w:r w:rsidRPr="00E53DD7">
        <w:t xml:space="preserve"> GFO-2</w:t>
      </w:r>
      <w:r w:rsidR="00F54545" w:rsidRPr="00E53DD7">
        <w:t>6</w:t>
      </w:r>
      <w:r w:rsidRPr="00E53DD7">
        <w:t>-</w:t>
      </w:r>
      <w:r w:rsidR="00A92041" w:rsidRPr="00E53DD7">
        <w:t>503</w:t>
      </w:r>
      <w:r w:rsidRPr="00E53DD7">
        <w:t xml:space="preserve"> Pre-Application Workshop</w:t>
      </w:r>
    </w:p>
    <w:p w14:paraId="5BAA7F65" w14:textId="77777777" w:rsidR="00992C04" w:rsidRPr="003F6147" w:rsidRDefault="00992C04" w:rsidP="00992C04">
      <w:pPr>
        <w:tabs>
          <w:tab w:val="left" w:pos="810"/>
        </w:tabs>
        <w:spacing w:after="0"/>
        <w:jc w:val="both"/>
        <w:rPr>
          <w:b/>
          <w:u w:val="single"/>
        </w:rPr>
      </w:pPr>
    </w:p>
    <w:p w14:paraId="36E62A65" w14:textId="77777777" w:rsidR="00992C04" w:rsidRPr="003F6147" w:rsidRDefault="00992C04" w:rsidP="00992C04">
      <w:pPr>
        <w:tabs>
          <w:tab w:val="left" w:pos="1080"/>
        </w:tabs>
        <w:jc w:val="both"/>
        <w:rPr>
          <w:b/>
        </w:rPr>
      </w:pPr>
      <w:r w:rsidRPr="003F6147">
        <w:rPr>
          <w:b/>
        </w:rPr>
        <w:t>Telephone Access Only:</w:t>
      </w:r>
    </w:p>
    <w:p w14:paraId="36F54354" w14:textId="77777777" w:rsidR="00992C04" w:rsidRPr="00F54545" w:rsidRDefault="00992C04" w:rsidP="00F54545">
      <w:pPr>
        <w:pStyle w:val="paragraph"/>
        <w:spacing w:before="0" w:beforeAutospacing="0" w:after="0" w:afterAutospacing="0"/>
        <w:textAlignment w:val="baseline"/>
        <w:rPr>
          <w:rFonts w:ascii="Tahoma" w:hAnsi="Tahoma" w:cs="Tahoma"/>
        </w:rPr>
      </w:pPr>
      <w:r w:rsidRPr="00F54545">
        <w:rPr>
          <w:rFonts w:ascii="Tahoma" w:hAnsi="Tahoma" w:cs="Tahoma"/>
        </w:rPr>
        <w:t xml:space="preserve">Call </w:t>
      </w:r>
      <w:r w:rsidRPr="00F54545">
        <w:rPr>
          <w:rFonts w:ascii="Tahoma" w:hAnsi="Tahoma" w:cs="Tahoma"/>
          <w:b/>
          <w:bCs/>
        </w:rPr>
        <w:t>1-888 475 4499</w:t>
      </w:r>
      <w:r w:rsidRPr="00F54545">
        <w:rPr>
          <w:rFonts w:ascii="Tahoma" w:hAnsi="Tahoma" w:cs="Tahoma"/>
        </w:rPr>
        <w:t xml:space="preserve"> (Toll Free) or </w:t>
      </w:r>
      <w:r w:rsidRPr="00F54545">
        <w:rPr>
          <w:rFonts w:ascii="Tahoma" w:hAnsi="Tahoma" w:cs="Tahoma"/>
          <w:b/>
          <w:bCs/>
        </w:rPr>
        <w:t>1-877 853 5257</w:t>
      </w:r>
      <w:r w:rsidRPr="00F54545">
        <w:rPr>
          <w:rFonts w:ascii="Tahoma" w:hAnsi="Tahoma" w:cs="Tahoma"/>
        </w:rPr>
        <w:t xml:space="preserve"> (Toll Free). When prompted, enter the meeting number above. </w:t>
      </w:r>
      <w:r w:rsidRPr="00F54545">
        <w:rPr>
          <w:rStyle w:val="normaltextrun"/>
          <w:rFonts w:ascii="Tahoma" w:hAnsi="Tahoma" w:cs="Tahoma"/>
        </w:rPr>
        <w:t xml:space="preserve">International callers may select a number from the Zoom International Dial-in Number List at: </w:t>
      </w:r>
      <w:hyperlink r:id="rId26" w:history="1">
        <w:r w:rsidRPr="00F54545">
          <w:rPr>
            <w:rStyle w:val="Hyperlink"/>
            <w:rFonts w:ascii="Tahoma" w:hAnsi="Tahoma" w:cs="Tahoma"/>
          </w:rPr>
          <w:t>https://energy.zoom.us/u/adjzKUXvoy</w:t>
        </w:r>
      </w:hyperlink>
      <w:r w:rsidRPr="00F54545">
        <w:rPr>
          <w:rStyle w:val="normaltextrun"/>
          <w:rFonts w:ascii="Tahoma" w:hAnsi="Tahoma" w:cs="Tahoma"/>
        </w:rPr>
        <w:t>. To comment, dial *9 to “raise your hand” and *6 to mute/unmute your phone line.</w:t>
      </w:r>
      <w:r w:rsidRPr="00F54545">
        <w:rPr>
          <w:rStyle w:val="eop"/>
          <w:rFonts w:ascii="Tahoma" w:hAnsi="Tahoma" w:cs="Tahoma"/>
        </w:rPr>
        <w:t> </w:t>
      </w:r>
    </w:p>
    <w:p w14:paraId="7A24B0CC" w14:textId="77777777" w:rsidR="00992C04" w:rsidRPr="00F54545" w:rsidRDefault="00992C04" w:rsidP="00992C04">
      <w:pPr>
        <w:pStyle w:val="paragraph"/>
        <w:spacing w:before="0" w:beforeAutospacing="0" w:after="0" w:afterAutospacing="0"/>
        <w:jc w:val="both"/>
        <w:textAlignment w:val="baseline"/>
        <w:rPr>
          <w:rFonts w:ascii="Tahoma" w:hAnsi="Tahoma" w:cs="Tahoma"/>
        </w:rPr>
      </w:pPr>
      <w:r w:rsidRPr="00F54545">
        <w:rPr>
          <w:rStyle w:val="eop"/>
          <w:rFonts w:ascii="Tahoma" w:hAnsi="Tahoma" w:cs="Tahoma"/>
        </w:rPr>
        <w:t> </w:t>
      </w:r>
    </w:p>
    <w:p w14:paraId="3EFDC14F" w14:textId="16C0960C" w:rsidR="00992C04" w:rsidRPr="00682080" w:rsidRDefault="00992C04" w:rsidP="00682080">
      <w:pPr>
        <w:tabs>
          <w:tab w:val="left" w:pos="1080"/>
        </w:tabs>
        <w:jc w:val="both"/>
        <w:rPr>
          <w:b/>
        </w:rPr>
      </w:pPr>
      <w:r w:rsidRPr="00682080">
        <w:rPr>
          <w:b/>
        </w:rPr>
        <w:t>Access by Mobile Device: </w:t>
      </w:r>
    </w:p>
    <w:p w14:paraId="27EDCB4B" w14:textId="77777777" w:rsidR="00992C04" w:rsidRPr="00F54545" w:rsidRDefault="00992C04" w:rsidP="00F54545">
      <w:pPr>
        <w:pStyle w:val="paragraph"/>
        <w:spacing w:before="0" w:beforeAutospacing="0" w:after="0" w:afterAutospacing="0"/>
        <w:textAlignment w:val="baseline"/>
        <w:rPr>
          <w:rFonts w:ascii="Tahoma" w:hAnsi="Tahoma" w:cs="Tahoma"/>
        </w:rPr>
      </w:pPr>
      <w:r w:rsidRPr="00F54545">
        <w:rPr>
          <w:rStyle w:val="normaltextrun"/>
          <w:rFonts w:ascii="Tahoma" w:hAnsi="Tahoma" w:cs="Tahoma"/>
        </w:rPr>
        <w:t xml:space="preserve">Download the application from the Zoom Download Center, </w:t>
      </w:r>
      <w:hyperlink r:id="rId27" w:history="1">
        <w:r w:rsidRPr="00F54545">
          <w:rPr>
            <w:rStyle w:val="Hyperlink"/>
            <w:rFonts w:ascii="Tahoma" w:hAnsi="Tahoma" w:cs="Tahoma"/>
          </w:rPr>
          <w:t>https://energy.zoom.us/download</w:t>
        </w:r>
      </w:hyperlink>
      <w:r w:rsidRPr="00F54545">
        <w:rPr>
          <w:rStyle w:val="normaltextrun"/>
          <w:rFonts w:ascii="Tahoma" w:hAnsi="Tahoma" w:cs="Tahoma"/>
        </w:rPr>
        <w:t>.</w:t>
      </w:r>
      <w:r w:rsidRPr="00F54545">
        <w:rPr>
          <w:rStyle w:val="eop"/>
          <w:rFonts w:ascii="Tahoma" w:hAnsi="Tahoma" w:cs="Tahoma"/>
        </w:rPr>
        <w:t> </w:t>
      </w:r>
    </w:p>
    <w:p w14:paraId="689CBCAF" w14:textId="77777777" w:rsidR="00992C04" w:rsidRPr="003F6147" w:rsidRDefault="00992C04" w:rsidP="00992C04">
      <w:pPr>
        <w:spacing w:after="0"/>
        <w:jc w:val="both"/>
        <w:rPr>
          <w:color w:val="0000FF"/>
        </w:rPr>
      </w:pPr>
    </w:p>
    <w:p w14:paraId="5FFF6781" w14:textId="77777777" w:rsidR="00992C04" w:rsidRPr="003F6147" w:rsidRDefault="00992C04" w:rsidP="00992C04">
      <w:pPr>
        <w:tabs>
          <w:tab w:val="left" w:pos="1080"/>
        </w:tabs>
        <w:jc w:val="both"/>
        <w:rPr>
          <w:b/>
        </w:rPr>
      </w:pPr>
      <w:r w:rsidRPr="003F6147">
        <w:rPr>
          <w:b/>
        </w:rPr>
        <w:t>Technical Support</w:t>
      </w:r>
      <w:r w:rsidRPr="00B9651C">
        <w:t xml:space="preserve"> </w:t>
      </w:r>
      <w:r w:rsidRPr="00B9651C">
        <w:rPr>
          <w:b/>
        </w:rPr>
        <w:t>for Pre-Application Workshop</w:t>
      </w:r>
      <w:r w:rsidRPr="003F6147">
        <w:rPr>
          <w:b/>
        </w:rPr>
        <w:t>:</w:t>
      </w:r>
    </w:p>
    <w:p w14:paraId="0692654C" w14:textId="4733ABB6" w:rsidR="00992C04" w:rsidRPr="00F54545" w:rsidRDefault="00992C04" w:rsidP="00D91AEF">
      <w:pPr>
        <w:numPr>
          <w:ilvl w:val="0"/>
          <w:numId w:val="93"/>
        </w:numPr>
        <w:spacing w:after="0"/>
        <w:ind w:left="810" w:hanging="450"/>
        <w:rPr>
          <w:b/>
          <w:u w:val="single"/>
        </w:rPr>
      </w:pPr>
      <w:r w:rsidRPr="003F6147">
        <w:t>For assistance with problems or questions about joining or attending the</w:t>
      </w:r>
      <w:r w:rsidR="00F54545">
        <w:t xml:space="preserve"> </w:t>
      </w:r>
      <w:r w:rsidRPr="003F6147">
        <w:t xml:space="preserve">meeting, please call </w:t>
      </w:r>
      <w:r>
        <w:t>Zoom</w:t>
      </w:r>
      <w:r w:rsidRPr="003F6147">
        <w:t xml:space="preserve"> Technical Support at </w:t>
      </w:r>
      <w:r w:rsidRPr="00F54545">
        <w:rPr>
          <w:b/>
        </w:rPr>
        <w:t>1-888-799-9666 ext. 2.</w:t>
      </w:r>
      <w:r w:rsidRPr="003F6147">
        <w:t xml:space="preserve">  You may also contact </w:t>
      </w:r>
      <w:r w:rsidRPr="00A8009F">
        <w:t xml:space="preserve">the CEC’s Public Advisor’s Office at publicadvisor@energy.ca.gov, or </w:t>
      </w:r>
      <w:r w:rsidRPr="0039669B">
        <w:t>(916) 957-7910</w:t>
      </w:r>
      <w:r w:rsidRPr="003F6147">
        <w:t>.</w:t>
      </w:r>
    </w:p>
    <w:p w14:paraId="3944BE92" w14:textId="77777777" w:rsidR="00992C04" w:rsidRPr="003F6147" w:rsidRDefault="00992C04" w:rsidP="00D91AEF">
      <w:pPr>
        <w:numPr>
          <w:ilvl w:val="0"/>
          <w:numId w:val="93"/>
        </w:numPr>
        <w:spacing w:after="0"/>
        <w:ind w:left="810" w:hanging="450"/>
        <w:rPr>
          <w:b/>
          <w:u w:val="single"/>
        </w:rPr>
      </w:pPr>
      <w:r w:rsidRPr="003F6147">
        <w:t>System Requirements: To determine whether your computer is compatible, visit:</w:t>
      </w:r>
    </w:p>
    <w:p w14:paraId="1D4FB617" w14:textId="77777777" w:rsidR="00992C04" w:rsidRPr="00F74D61" w:rsidRDefault="00992C04" w:rsidP="00D91AEF">
      <w:pPr>
        <w:spacing w:after="0"/>
        <w:ind w:left="810" w:hanging="450"/>
      </w:pPr>
      <w:r w:rsidRPr="003F6147">
        <w:tab/>
      </w:r>
      <w:hyperlink r:id="rId28" w:history="1">
        <w:r w:rsidRPr="003E0991">
          <w:rPr>
            <w:rStyle w:val="Hyperlink"/>
          </w:rPr>
          <w:t>https://support.zoom.us/hc/en-us/articles/201362023-System-requirements-for-Windows-macOS-and-Linux</w:t>
        </w:r>
      </w:hyperlink>
      <w:r w:rsidRPr="005B073B">
        <w:t>.</w:t>
      </w:r>
    </w:p>
    <w:p w14:paraId="16095C09" w14:textId="561344EE" w:rsidR="00992C04" w:rsidRPr="00B703F3" w:rsidRDefault="00992C04" w:rsidP="00D91AEF">
      <w:pPr>
        <w:numPr>
          <w:ilvl w:val="0"/>
          <w:numId w:val="93"/>
        </w:numPr>
        <w:spacing w:after="0"/>
        <w:ind w:left="810" w:hanging="450"/>
        <w:rPr>
          <w:b/>
          <w:u w:val="single"/>
        </w:rPr>
      </w:pPr>
      <w:r w:rsidRPr="003F6147">
        <w:t xml:space="preserve">If you </w:t>
      </w:r>
      <w:r w:rsidRPr="001D3907">
        <w:t>need a reasonable accommodation</w:t>
      </w:r>
      <w:r w:rsidRPr="003F6147">
        <w:t xml:space="preserve"> to participate, please </w:t>
      </w:r>
      <w:r w:rsidR="0024776F">
        <w:t xml:space="preserve">contact </w:t>
      </w:r>
      <w:r w:rsidRPr="003F6147">
        <w:t>Erica Rodriguez</w:t>
      </w:r>
      <w:r w:rsidRPr="003F6147" w:rsidDel="00205C49">
        <w:t xml:space="preserve"> </w:t>
      </w:r>
      <w:r w:rsidRPr="003F6147">
        <w:t xml:space="preserve">by e-mail at Erica.Rodriguez@energy.ca.gov or (916) </w:t>
      </w:r>
      <w:r>
        <w:t>764</w:t>
      </w:r>
      <w:r w:rsidRPr="003F6147">
        <w:t>-</w:t>
      </w:r>
      <w:r>
        <w:t>5705</w:t>
      </w:r>
      <w:r w:rsidRPr="003F6147">
        <w:t xml:space="preserve"> at least five days in advance. </w:t>
      </w:r>
    </w:p>
    <w:p w14:paraId="6903197C" w14:textId="77777777" w:rsidR="00674AE1" w:rsidRDefault="00674AE1" w:rsidP="00EF1C78">
      <w:pPr>
        <w:pStyle w:val="Heading3"/>
        <w:ind w:left="0"/>
      </w:pPr>
      <w:bookmarkStart w:id="108" w:name="_Toc243558512"/>
      <w:r>
        <w:t>Questions and Communication Restrictions</w:t>
      </w:r>
      <w:bookmarkEnd w:id="108"/>
    </w:p>
    <w:p w14:paraId="26EE1A38" w14:textId="4EE99B80" w:rsidR="00303DEB" w:rsidRDefault="00303DEB" w:rsidP="008B5DBB">
      <w:r w:rsidRPr="003F6147">
        <w:t xml:space="preserve">During the solicitation process, </w:t>
      </w:r>
      <w:r>
        <w:t xml:space="preserve">for questions only related to submission of application in the new ECAMS system, please contact </w:t>
      </w:r>
      <w:hyperlink r:id="rId29" w:history="1">
        <w:r w:rsidRPr="00451B24">
          <w:rPr>
            <w:rStyle w:val="Hyperlink"/>
          </w:rPr>
          <w:t>ECAMS.SalesforceSupport@energy.ca.gov</w:t>
        </w:r>
      </w:hyperlink>
      <w:r>
        <w:t>.  Through that email address applicants will be able to access a team of technical assistants who can answer questions about application submission. Please also see Section III.B for additional information about the ECAMS system.</w:t>
      </w:r>
    </w:p>
    <w:p w14:paraId="1770B0B6" w14:textId="77777777" w:rsidR="00303DEB" w:rsidRPr="003F6147" w:rsidRDefault="00303DEB" w:rsidP="008B5DBB">
      <w:r>
        <w:t xml:space="preserve">For all other questions, including all technical and administrative </w:t>
      </w:r>
      <w:r w:rsidRPr="003F6147">
        <w:t xml:space="preserve">questions </w:t>
      </w:r>
      <w:r>
        <w:t xml:space="preserve">that are not related to submission of applications in the ECAMS system, please contact </w:t>
      </w:r>
      <w:r w:rsidRPr="003F6147">
        <w:t>the Commission Agreement Officer listed below:</w:t>
      </w:r>
    </w:p>
    <w:p w14:paraId="5937EBD7" w14:textId="6072DA35" w:rsidR="00303DEB" w:rsidRPr="00553C13" w:rsidRDefault="001B11AD" w:rsidP="008B5DBB">
      <w:pPr>
        <w:contextualSpacing/>
        <w:jc w:val="center"/>
      </w:pPr>
      <w:r w:rsidRPr="001B11AD">
        <w:t>Enrico Palo</w:t>
      </w:r>
      <w:r w:rsidR="00303DEB" w:rsidRPr="00553C13">
        <w:t>, Commission Agreement Officer</w:t>
      </w:r>
    </w:p>
    <w:p w14:paraId="515F7A03" w14:textId="77777777" w:rsidR="00303DEB" w:rsidRPr="00553C13" w:rsidRDefault="00303DEB" w:rsidP="008B5DBB">
      <w:pPr>
        <w:contextualSpacing/>
        <w:jc w:val="center"/>
      </w:pPr>
      <w:r w:rsidRPr="00553C13">
        <w:t>California Energy Commission</w:t>
      </w:r>
    </w:p>
    <w:p w14:paraId="56D895F0" w14:textId="15B4B8CF" w:rsidR="00303DEB" w:rsidRPr="00553C13" w:rsidRDefault="00303DEB" w:rsidP="008B5DBB">
      <w:pPr>
        <w:contextualSpacing/>
        <w:jc w:val="center"/>
      </w:pPr>
      <w:r w:rsidRPr="00553C13">
        <w:t>715 P, MS-1</w:t>
      </w:r>
      <w:r w:rsidR="00110D12">
        <w:t>8</w:t>
      </w:r>
    </w:p>
    <w:p w14:paraId="4DFCF1A7" w14:textId="77777777" w:rsidR="00303DEB" w:rsidRPr="00E97ACD" w:rsidRDefault="00303DEB" w:rsidP="008B5DBB">
      <w:pPr>
        <w:contextualSpacing/>
        <w:jc w:val="center"/>
        <w:rPr>
          <w:lang w:val="pt-BR"/>
        </w:rPr>
      </w:pPr>
      <w:r w:rsidRPr="00E97ACD">
        <w:rPr>
          <w:lang w:val="pt-BR"/>
        </w:rPr>
        <w:lastRenderedPageBreak/>
        <w:t>Sacramento, California, 95814</w:t>
      </w:r>
    </w:p>
    <w:p w14:paraId="7BCF68DC" w14:textId="059FB62F" w:rsidR="00303DEB" w:rsidRPr="002311E2" w:rsidRDefault="00303DEB" w:rsidP="564B07B6">
      <w:pPr>
        <w:spacing w:after="0"/>
        <w:contextualSpacing/>
        <w:jc w:val="center"/>
      </w:pPr>
      <w:r w:rsidRPr="001B11AD">
        <w:t xml:space="preserve">E-mail: </w:t>
      </w:r>
      <w:r w:rsidR="001B11AD" w:rsidRPr="001B11AD">
        <w:t>Enrico.Palo</w:t>
      </w:r>
      <w:r w:rsidRPr="001B11AD">
        <w:t>@energy.ca.gov</w:t>
      </w:r>
    </w:p>
    <w:p w14:paraId="5EF6ADEA" w14:textId="77777777" w:rsidR="00303DEB" w:rsidRPr="00E97ACD" w:rsidRDefault="00303DEB" w:rsidP="008B5DBB">
      <w:pPr>
        <w:spacing w:after="0"/>
        <w:rPr>
          <w:lang w:val="pt-BR"/>
        </w:rPr>
      </w:pPr>
    </w:p>
    <w:p w14:paraId="387ADCB9" w14:textId="77777777" w:rsidR="00303DEB" w:rsidRPr="003F6147" w:rsidRDefault="00303DEB" w:rsidP="008B5DBB">
      <w:r>
        <w:t xml:space="preserve">Applicants may ask questions at the Pre-Application Workshop and may submit written questions via email. However, all </w:t>
      </w:r>
      <w:r w:rsidRPr="620F64EC">
        <w:rPr>
          <w:b/>
          <w:bCs/>
        </w:rPr>
        <w:t>technical</w:t>
      </w:r>
      <w:r>
        <w:t xml:space="preserve"> questions must be received by the deadline listed in the “Key Activities Schedule” above. Questions received after the deadline may be answered at the CEC's discretion. </w:t>
      </w:r>
      <w:r w:rsidRPr="620F64EC">
        <w:rPr>
          <w:b/>
          <w:bCs/>
        </w:rPr>
        <w:t>Non-technical</w:t>
      </w:r>
      <w:r>
        <w:t xml:space="preserve"> questions (e.g., administrative questions concerning application format requirements or attachment instructions) may be submitted to the CAO at any time prior to 5:00 p.m. of the application deadline date. Similarly, questions related to submission of applications in the ECAMS system may be submitted to ECAMS.SalesforceSupport@energy.ca.gov at any time prior to 5:00 p.m. of the application deadline date.</w:t>
      </w:r>
    </w:p>
    <w:p w14:paraId="5C728291" w14:textId="77777777" w:rsidR="00303DEB" w:rsidRPr="003F6147" w:rsidRDefault="00303DEB" w:rsidP="008B5DBB">
      <w:pPr>
        <w:spacing w:before="240"/>
      </w:pPr>
      <w:r w:rsidRPr="003F6147">
        <w:t>The questions and answers will also be posted on the C</w:t>
      </w:r>
      <w:r>
        <w:t>EC</w:t>
      </w:r>
      <w:r w:rsidRPr="003F6147">
        <w:t xml:space="preserve">’s website at: </w:t>
      </w:r>
      <w:hyperlink r:id="rId30" w:history="1">
        <w:r w:rsidRPr="003E0991">
          <w:rPr>
            <w:rStyle w:val="Hyperlink"/>
          </w:rPr>
          <w:t>https://www.energy.ca.gov/funding-opportunities/solicitations</w:t>
        </w:r>
      </w:hyperlink>
      <w:r>
        <w:t>.</w:t>
      </w:r>
    </w:p>
    <w:p w14:paraId="3007DAF4" w14:textId="7118F857" w:rsidR="00303DEB" w:rsidRPr="003F6147" w:rsidRDefault="00303DEB" w:rsidP="008B5DBB">
      <w:pPr>
        <w:rPr>
          <w:szCs w:val="22"/>
        </w:rPr>
      </w:pPr>
      <w:r w:rsidRPr="003F6147">
        <w:rPr>
          <w:szCs w:val="22"/>
        </w:rPr>
        <w:t xml:space="preserve">If an applicant discovers a </w:t>
      </w:r>
      <w:r w:rsidRPr="003F6147">
        <w:rPr>
          <w:b/>
          <w:szCs w:val="22"/>
        </w:rPr>
        <w:t>conflict, discrepancy, omission, or other error</w:t>
      </w:r>
      <w:r w:rsidRPr="003F6147">
        <w:rPr>
          <w:szCs w:val="22"/>
        </w:rPr>
        <w:t xml:space="preserve"> in the solicitation at any time prior</w:t>
      </w:r>
      <w:r w:rsidR="00A3320F">
        <w:rPr>
          <w:szCs w:val="22"/>
        </w:rPr>
        <w:t xml:space="preserve"> to</w:t>
      </w:r>
      <w:r w:rsidRPr="003F6147">
        <w:rPr>
          <w:szCs w:val="22"/>
        </w:rPr>
        <w:t xml:space="preserve"> </w:t>
      </w:r>
      <w:r w:rsidRPr="000C0561">
        <w:rPr>
          <w:szCs w:val="22"/>
        </w:rPr>
        <w:t xml:space="preserve">5:00 p.m. of </w:t>
      </w:r>
      <w:r w:rsidRPr="003F6147">
        <w:rPr>
          <w:szCs w:val="22"/>
        </w:rPr>
        <w:t>the application deadline</w:t>
      </w:r>
      <w:r>
        <w:rPr>
          <w:szCs w:val="22"/>
        </w:rPr>
        <w:t xml:space="preserve"> date</w:t>
      </w:r>
      <w:r w:rsidRPr="003F6147">
        <w:rPr>
          <w:szCs w:val="22"/>
        </w:rPr>
        <w:t>, the applicant may notify the C</w:t>
      </w:r>
      <w:r>
        <w:rPr>
          <w:szCs w:val="22"/>
        </w:rPr>
        <w:t>AO</w:t>
      </w:r>
      <w:r w:rsidRPr="003F6147">
        <w:rPr>
          <w:szCs w:val="22"/>
        </w:rPr>
        <w:t xml:space="preserve"> in writing and request modification or clarification of the solicitation. The CEC, at its discretion will provide modifications or clarifications by either an addendum to the solicitation or by written notice to all entities that requested the solicitation.  At its discretion, the CEC may, in addition to any other actions it may choose, re-open the question/answer period to provide all applicants the opportunity to seek any further clarification required.  </w:t>
      </w:r>
    </w:p>
    <w:p w14:paraId="38679A28" w14:textId="77777777" w:rsidR="00303DEB" w:rsidRDefault="00303DEB" w:rsidP="008B5DBB">
      <w:pPr>
        <w:spacing w:before="240"/>
        <w:rPr>
          <w:b/>
        </w:rPr>
      </w:pPr>
      <w:r w:rsidRPr="003F6147">
        <w:rPr>
          <w:b/>
        </w:rPr>
        <w:t>Any verbal communication with a C</w:t>
      </w:r>
      <w:r>
        <w:rPr>
          <w:b/>
        </w:rPr>
        <w:t>EC</w:t>
      </w:r>
      <w:r w:rsidRPr="003F6147">
        <w:rPr>
          <w:b/>
        </w:rPr>
        <w:t xml:space="preserve"> employee </w:t>
      </w:r>
      <w:r w:rsidRPr="00276673">
        <w:rPr>
          <w:b/>
        </w:rPr>
        <w:t xml:space="preserve">or anyone else </w:t>
      </w:r>
      <w:r w:rsidRPr="003F6147">
        <w:rPr>
          <w:b/>
        </w:rPr>
        <w:t>concerning this solicitation is not binding on the State and will in no way alter a specification, term, or condition of the solicitation.  Therefore, all communication should be directed in writing to the assigned CAO.</w:t>
      </w:r>
    </w:p>
    <w:p w14:paraId="461C1339" w14:textId="77777777" w:rsidR="00674AE1" w:rsidRDefault="00674AE1" w:rsidP="00EF1C78">
      <w:pPr>
        <w:pStyle w:val="Heading3"/>
        <w:ind w:left="0"/>
      </w:pPr>
      <w:bookmarkStart w:id="109" w:name="_Toc243558513"/>
      <w:r w:rsidRPr="004302BF">
        <w:t>Agreement Contingent on Funding Availability</w:t>
      </w:r>
      <w:bookmarkEnd w:id="103"/>
      <w:bookmarkEnd w:id="109"/>
    </w:p>
    <w:p w14:paraId="3E1A55D0" w14:textId="77777777" w:rsidR="00674AE1" w:rsidRPr="00F43C89" w:rsidRDefault="00674AE1" w:rsidP="003125ED">
      <w:pPr>
        <w:spacing w:after="8000"/>
      </w:pPr>
      <w:r w:rsidRPr="00F43C89">
        <w:t>Without limitation to any other of CEC’s rights and remedies, if any state funds used for any agreement resulting from this solicitation</w:t>
      </w:r>
      <w:r>
        <w:t xml:space="preserve"> </w:t>
      </w:r>
      <w:r w:rsidRPr="00F43C89">
        <w:t>become unavailable</w:t>
      </w:r>
      <w:r>
        <w:t>,</w:t>
      </w:r>
      <w:r w:rsidRPr="00F43C89">
        <w:t xml:space="preserve"> reduced</w:t>
      </w:r>
      <w:r>
        <w:t>,</w:t>
      </w:r>
      <w:r w:rsidRPr="00F43C89">
        <w:t xml:space="preserve"> </w:t>
      </w:r>
      <w:r>
        <w:t>and/</w:t>
      </w:r>
      <w:r w:rsidRPr="00F43C89">
        <w:t>or</w:t>
      </w:r>
      <w:r w:rsidRPr="00F43C89" w:rsidDel="00EA0325">
        <w:t xml:space="preserve"> </w:t>
      </w:r>
      <w:r w:rsidRPr="00F43C89">
        <w:t>deleted for any reason</w:t>
      </w:r>
      <w:r>
        <w:t>,</w:t>
      </w:r>
      <w:r w:rsidRPr="00F43C89">
        <w:t xml:space="preserve"> </w:t>
      </w:r>
      <w:r>
        <w:t>the</w:t>
      </w:r>
      <w:r w:rsidRPr="00F43C89">
        <w:t xml:space="preserve"> CEC may in its sole discretion: 1) cancel agreements with no liability occurring to the CEC</w:t>
      </w:r>
      <w:r>
        <w:t xml:space="preserve"> and the state of California</w:t>
      </w:r>
      <w:r w:rsidRPr="00F43C89">
        <w:t xml:space="preserve">; or 2) offer an agreement amendment to the recipient to reflect a reduced amount of funds. Should CEC choose to cancel any agreement, CEC </w:t>
      </w:r>
      <w:r>
        <w:t xml:space="preserve">and the State of California </w:t>
      </w:r>
      <w:r w:rsidRPr="00F43C89">
        <w:t xml:space="preserve">shall have no liability to pay any funds whatsoever to the agreement recipient, any subrecipients, and any vendors; nor to furnish any other consideration under any agreement resulting from this solicitation; and the recipient shall not be obligated to perform any provisions of such an agreement. </w:t>
      </w:r>
    </w:p>
    <w:p w14:paraId="1F62E4D2" w14:textId="77777777" w:rsidR="00674AE1" w:rsidRPr="00F83BEC" w:rsidRDefault="00674AE1" w:rsidP="00674AE1">
      <w:pPr>
        <w:pStyle w:val="Heading2"/>
      </w:pPr>
      <w:bookmarkStart w:id="110" w:name="_Toc336443618"/>
      <w:bookmarkStart w:id="111" w:name="_Toc366671173"/>
      <w:bookmarkStart w:id="112" w:name="_Toc177403891"/>
      <w:bookmarkStart w:id="113" w:name="_Toc310513471"/>
      <w:bookmarkStart w:id="114" w:name="_Toc198951306"/>
      <w:bookmarkStart w:id="115" w:name="_Toc201713533"/>
      <w:bookmarkStart w:id="116" w:name="_Toc217726087"/>
      <w:bookmarkStart w:id="117" w:name="_Toc219275083"/>
      <w:bookmarkStart w:id="118" w:name="_Toc243558514"/>
      <w:bookmarkEnd w:id="50"/>
      <w:bookmarkEnd w:id="51"/>
      <w:bookmarkEnd w:id="52"/>
      <w:bookmarkEnd w:id="75"/>
      <w:bookmarkEnd w:id="76"/>
      <w:bookmarkEnd w:id="77"/>
      <w:bookmarkEnd w:id="104"/>
      <w:bookmarkEnd w:id="105"/>
      <w:bookmarkEnd w:id="106"/>
      <w:r>
        <w:lastRenderedPageBreak/>
        <w:t>II: Application</w:t>
      </w:r>
      <w:r w:rsidRPr="00C31C1D">
        <w:t xml:space="preserve"> Requirements</w:t>
      </w:r>
      <w:bookmarkEnd w:id="110"/>
      <w:bookmarkEnd w:id="111"/>
      <w:bookmarkEnd w:id="112"/>
      <w:bookmarkEnd w:id="118"/>
    </w:p>
    <w:p w14:paraId="2FF1011D" w14:textId="77777777" w:rsidR="00674AE1" w:rsidRDefault="00674AE1" w:rsidP="00346D6C">
      <w:pPr>
        <w:pStyle w:val="Heading3"/>
        <w:numPr>
          <w:ilvl w:val="0"/>
          <w:numId w:val="67"/>
        </w:numPr>
        <w:ind w:left="0"/>
      </w:pPr>
      <w:bookmarkStart w:id="119" w:name="Elig"/>
      <w:bookmarkStart w:id="120" w:name="_Toc243558515"/>
      <w:bookmarkEnd w:id="113"/>
      <w:r w:rsidRPr="004F7A4F">
        <w:t>Applicant</w:t>
      </w:r>
      <w:r>
        <w:t xml:space="preserve"> Requirements</w:t>
      </w:r>
      <w:bookmarkEnd w:id="120"/>
    </w:p>
    <w:p w14:paraId="4BC4918C" w14:textId="34EF88FA" w:rsidR="00674AE1" w:rsidRPr="00BE64A5" w:rsidRDefault="00674AE1" w:rsidP="00674AE1">
      <w:pPr>
        <w:pStyle w:val="Heading4"/>
        <w:numPr>
          <w:ilvl w:val="0"/>
          <w:numId w:val="58"/>
        </w:numPr>
        <w:tabs>
          <w:tab w:val="num" w:pos="360"/>
        </w:tabs>
        <w:ind w:left="0" w:firstLine="0"/>
      </w:pPr>
      <w:bookmarkStart w:id="121" w:name="_Toc243558516"/>
      <w:r w:rsidRPr="00BE64A5">
        <w:t>Eligibility</w:t>
      </w:r>
      <w:bookmarkEnd w:id="121"/>
    </w:p>
    <w:bookmarkEnd w:id="119"/>
    <w:p w14:paraId="4F1083CC" w14:textId="3636470E" w:rsidR="00674AE1" w:rsidRDefault="00674AE1" w:rsidP="00674AE1">
      <w:r>
        <w:t>Eligible Applicants are a public agency,</w:t>
      </w:r>
      <w:r w:rsidRPr="00CA3D73">
        <w:t xml:space="preserve"> local agency, nonprofit organization, special district, joint powers authority, tribe, public utility, local publicly owned utility, or mutual water company</w:t>
      </w:r>
      <w:r>
        <w:rPr>
          <w:rStyle w:val="FootnoteReference"/>
        </w:rPr>
        <w:footnoteReference w:id="5"/>
      </w:r>
      <w:r>
        <w:t>. For applications submitted jointly by multiple Eligible Applicants, only one entity can be the primary Applicant</w:t>
      </w:r>
      <w:r w:rsidR="008E23AD">
        <w:t>,</w:t>
      </w:r>
      <w:r>
        <w:t xml:space="preserve"> and that entity must be identified as the primary Applicant. </w:t>
      </w:r>
    </w:p>
    <w:p w14:paraId="479CFE14" w14:textId="5372EDB7" w:rsidR="00674AE1" w:rsidRDefault="00674AE1" w:rsidP="00674AE1">
      <w:r>
        <w:t>An Eligible Applicant may submit multiple applications using a combination of eligible technologies (See Section II.B.2. “Eligible Technologies”). If multiple applications are submitted, each application must be for either a different combination of eligible technology equipment to be installed or different project sites</w:t>
      </w:r>
      <w:r w:rsidR="0057783F">
        <w:t xml:space="preserve"> that </w:t>
      </w:r>
      <w:r w:rsidR="009245D8">
        <w:t xml:space="preserve">have </w:t>
      </w:r>
      <w:r w:rsidR="0057783F">
        <w:t xml:space="preserve">specifically identified </w:t>
      </w:r>
      <w:r w:rsidR="009245D8">
        <w:t xml:space="preserve">distinct locations </w:t>
      </w:r>
      <w:r w:rsidR="002C6D17">
        <w:t xml:space="preserve">(such as address) </w:t>
      </w:r>
      <w:r w:rsidR="0057783F">
        <w:t>in the application</w:t>
      </w:r>
      <w:r w:rsidR="00852ED2">
        <w:t>s</w:t>
      </w:r>
      <w:r>
        <w:t>. Multiple applications involving aggregations of similar technologies across multiple sites</w:t>
      </w:r>
      <w:r w:rsidR="00606CE6">
        <w:t xml:space="preserve"> </w:t>
      </w:r>
      <w:r w:rsidR="00AA4853">
        <w:t xml:space="preserve">whose locations (such as address) are not specifically identified </w:t>
      </w:r>
      <w:r w:rsidR="00606CE6">
        <w:t xml:space="preserve">at the time of application submission, even if </w:t>
      </w:r>
      <w:r w:rsidR="00527636">
        <w:t xml:space="preserve">the sites are </w:t>
      </w:r>
      <w:r w:rsidR="00606CE6">
        <w:t xml:space="preserve">in </w:t>
      </w:r>
      <w:r w:rsidR="008318CA">
        <w:t xml:space="preserve">distinct </w:t>
      </w:r>
      <w:r w:rsidR="00606CE6">
        <w:t>regions,</w:t>
      </w:r>
      <w:r>
        <w:t xml:space="preserve"> are not permitted. </w:t>
      </w:r>
    </w:p>
    <w:p w14:paraId="6CCC1E5A" w14:textId="3B8588F1" w:rsidR="00674AE1" w:rsidRDefault="00674AE1" w:rsidP="00674AE1">
      <w:r>
        <w:t xml:space="preserve">The Applicant will be the entity responsible for ensuring the project’s assets are operated consistent with the performance requirements described in </w:t>
      </w:r>
      <w:r w:rsidRPr="00553056">
        <w:t>Section II.B.</w:t>
      </w:r>
      <w:r>
        <w:t>5 “Performance Requirements” and must ensure that any award payments are disbursed to project partners, third parties, and/or vendors as appropriate</w:t>
      </w:r>
      <w:r w:rsidR="0EE588BB">
        <w:t xml:space="preserve"> through subrecipient or vendor agreements</w:t>
      </w:r>
      <w:r>
        <w:t xml:space="preserve">. The development, installation, and operation of the deployed DERs may be contracted out to </w:t>
      </w:r>
      <w:r w:rsidR="3945FDE9">
        <w:t>other public or private entities as</w:t>
      </w:r>
      <w:r>
        <w:t xml:space="preserve"> subrecipient</w:t>
      </w:r>
      <w:r w:rsidR="1EA046BB">
        <w:t>s</w:t>
      </w:r>
      <w:r w:rsidR="00456EB2">
        <w:t xml:space="preserve"> or vendor</w:t>
      </w:r>
      <w:r w:rsidR="448202F8">
        <w:t>s under</w:t>
      </w:r>
      <w:r w:rsidR="5166D948">
        <w:t xml:space="preserve"> the grant agreement</w:t>
      </w:r>
      <w:r>
        <w:t>.</w:t>
      </w:r>
    </w:p>
    <w:p w14:paraId="632C3F23" w14:textId="2C722432" w:rsidR="007D4285" w:rsidRDefault="007D4285" w:rsidP="00161627">
      <w:r w:rsidRPr="009B7AA1">
        <w:t xml:space="preserve">Prospective applicants looking for partnering opportunities for this funding opportunity should register on the </w:t>
      </w:r>
      <w:hyperlink r:id="rId31" w:history="1">
        <w:r w:rsidRPr="001B026D">
          <w:rPr>
            <w:rStyle w:val="Hyperlink"/>
            <w:rFonts w:cs="Arial"/>
          </w:rPr>
          <w:t>California Energy Commission’s Empower Innovatio</w:t>
        </w:r>
        <w:r w:rsidRPr="001B026D">
          <w:rPr>
            <w:rStyle w:val="Hyperlink"/>
            <w:rFonts w:cs="Arial"/>
          </w:rPr>
          <w:t>n</w:t>
        </w:r>
        <w:r w:rsidRPr="001B026D">
          <w:rPr>
            <w:rStyle w:val="Hyperlink"/>
            <w:rFonts w:cs="Arial"/>
          </w:rPr>
          <w:t xml:space="preserve"> website</w:t>
        </w:r>
      </w:hyperlink>
      <w:r>
        <w:t>.</w:t>
      </w:r>
    </w:p>
    <w:p w14:paraId="6DB561C5" w14:textId="77777777" w:rsidR="00674AE1" w:rsidRDefault="00674AE1" w:rsidP="00357D95">
      <w:pPr>
        <w:spacing w:after="0"/>
      </w:pPr>
      <w:r>
        <w:t>A p</w:t>
      </w:r>
      <w:r w:rsidRPr="00DC2C57">
        <w:t>ublic agenc</w:t>
      </w:r>
      <w:r>
        <w:t>y does not need a governing board resolution to apply. However, a public agency that</w:t>
      </w:r>
      <w:r w:rsidRPr="00DC2C57">
        <w:t xml:space="preserve"> receive</w:t>
      </w:r>
      <w:r>
        <w:t>s</w:t>
      </w:r>
      <w:r w:rsidRPr="00DC2C57">
        <w:t xml:space="preserve"> funding under this solicitation must provide an authorizing resolution approved by </w:t>
      </w:r>
      <w:r>
        <w:t>its</w:t>
      </w:r>
      <w:r w:rsidRPr="00DC2C57">
        <w:t xml:space="preserve"> governing authority </w:t>
      </w:r>
      <w:r>
        <w:t>prior to</w:t>
      </w:r>
      <w:r w:rsidRPr="00DC2C57">
        <w:t xml:space="preserve"> enter</w:t>
      </w:r>
      <w:r>
        <w:t xml:space="preserve">ing </w:t>
      </w:r>
      <w:r w:rsidRPr="00DC2C57">
        <w:t>into an agreement with CEC</w:t>
      </w:r>
      <w:r>
        <w:t>. The resolution must designate</w:t>
      </w:r>
      <w:r w:rsidRPr="00DC2C57">
        <w:t xml:space="preserve"> </w:t>
      </w:r>
      <w:r>
        <w:t xml:space="preserve">the </w:t>
      </w:r>
      <w:r w:rsidRPr="00DC2C57">
        <w:t>authorized representative to sign</w:t>
      </w:r>
      <w:r>
        <w:t xml:space="preserve"> the agreement with CEC and attest to the completion of all required permitting and/or CEQA determinations applicable to the project</w:t>
      </w:r>
      <w:r w:rsidRPr="00DC2C57">
        <w:t>.</w:t>
      </w:r>
      <w:r>
        <w:t xml:space="preserve"> </w:t>
      </w:r>
    </w:p>
    <w:p w14:paraId="6274C52A" w14:textId="77777777" w:rsidR="00674AE1" w:rsidRPr="00F43C89" w:rsidRDefault="00674AE1" w:rsidP="00674AE1">
      <w:pPr>
        <w:pStyle w:val="Heading4"/>
        <w:numPr>
          <w:ilvl w:val="0"/>
          <w:numId w:val="58"/>
        </w:numPr>
        <w:tabs>
          <w:tab w:val="num" w:pos="360"/>
        </w:tabs>
        <w:ind w:left="0" w:firstLine="0"/>
      </w:pPr>
      <w:bookmarkStart w:id="122" w:name="_Toc381079914"/>
      <w:bookmarkStart w:id="123" w:name="_Toc382571176"/>
      <w:bookmarkStart w:id="124" w:name="_Toc395180678"/>
      <w:bookmarkStart w:id="125" w:name="_Toc433981305"/>
      <w:bookmarkStart w:id="126" w:name="_Toc243558517"/>
      <w:r w:rsidRPr="00C07F85">
        <w:t>Terms and Conditions</w:t>
      </w:r>
      <w:bookmarkEnd w:id="122"/>
      <w:bookmarkEnd w:id="123"/>
      <w:bookmarkEnd w:id="124"/>
      <w:bookmarkEnd w:id="125"/>
      <w:bookmarkEnd w:id="126"/>
    </w:p>
    <w:p w14:paraId="34BCCD2D" w14:textId="55116B68" w:rsidR="00674AE1" w:rsidRPr="00824B99" w:rsidRDefault="00674AE1" w:rsidP="00674AE1">
      <w:pPr>
        <w:rPr>
          <w:rFonts w:cs="Tahoma"/>
        </w:rPr>
      </w:pPr>
      <w:r>
        <w:t>Each grant agreement resulting from this solicitation will include terms and conditions that set forth the grant recipient’s rights and responsibilities. By signing Applicant Declarations</w:t>
      </w:r>
      <w:r w:rsidR="00446DC4">
        <w:t xml:space="preserve"> (</w:t>
      </w:r>
      <w:r w:rsidR="00446DC4" w:rsidRPr="003230BB">
        <w:t>Attachment 11</w:t>
      </w:r>
      <w:r w:rsidR="00446DC4">
        <w:t>)</w:t>
      </w:r>
      <w:r>
        <w:t xml:space="preserve">, each Applicant agrees to </w:t>
      </w:r>
      <w:r w:rsidRPr="00B96595">
        <w:rPr>
          <w:rStyle w:val="Style10pt"/>
          <w:rFonts w:ascii="Tahoma" w:hAnsi="Tahoma" w:cs="Tahoma"/>
          <w:sz w:val="24"/>
          <w:szCs w:val="24"/>
        </w:rPr>
        <w:t xml:space="preserve">enter into an agreement with </w:t>
      </w:r>
      <w:r w:rsidRPr="00B96595">
        <w:rPr>
          <w:rStyle w:val="Style10pt"/>
          <w:rFonts w:ascii="Tahoma" w:hAnsi="Tahoma" w:cs="Tahoma"/>
          <w:sz w:val="24"/>
          <w:szCs w:val="24"/>
        </w:rPr>
        <w:lastRenderedPageBreak/>
        <w:t>the CEC to conduct the proposed project according to the terms and conditions that correspond to its organization and project group, without negotiation</w:t>
      </w:r>
      <w:r>
        <w:rPr>
          <w:rStyle w:val="Style10pt"/>
          <w:rFonts w:ascii="Tahoma" w:hAnsi="Tahoma" w:cs="Tahoma"/>
          <w:sz w:val="24"/>
          <w:szCs w:val="24"/>
        </w:rPr>
        <w:t xml:space="preserve">. This includes </w:t>
      </w:r>
      <w:r w:rsidRPr="41962BB8">
        <w:t>(1)</w:t>
      </w:r>
      <w:r>
        <w:t> </w:t>
      </w:r>
      <w:r w:rsidRPr="41962BB8">
        <w:t>University of California and California State University terms and conditions</w:t>
      </w:r>
      <w:r>
        <w:t>;</w:t>
      </w:r>
      <w:r w:rsidRPr="41962BB8">
        <w:t xml:space="preserve"> </w:t>
      </w:r>
      <w:r>
        <w:t xml:space="preserve">or </w:t>
      </w:r>
      <w:r w:rsidRPr="41962BB8">
        <w:t>(</w:t>
      </w:r>
      <w:r>
        <w:t>2</w:t>
      </w:r>
      <w:r w:rsidRPr="41962BB8">
        <w:t xml:space="preserve">) </w:t>
      </w:r>
      <w:r>
        <w:t>S</w:t>
      </w:r>
      <w:r w:rsidRPr="41962BB8">
        <w:t>tandard terms and conditio</w:t>
      </w:r>
      <w:r>
        <w:t xml:space="preserve">ns located </w:t>
      </w:r>
      <w:r w:rsidRPr="003F6147">
        <w:t xml:space="preserve">on the </w:t>
      </w:r>
      <w:hyperlink r:id="rId32" w:history="1">
        <w:r w:rsidR="00C13286" w:rsidRPr="00A801F9">
          <w:rPr>
            <w:rStyle w:val="Hyperlink"/>
            <w:rFonts w:cs="Tahoma"/>
          </w:rPr>
          <w:t xml:space="preserve">CEC's </w:t>
        </w:r>
        <w:r w:rsidR="00A801F9" w:rsidRPr="00A801F9">
          <w:rPr>
            <w:rStyle w:val="Hyperlink"/>
            <w:rFonts w:cs="Tahoma"/>
          </w:rPr>
          <w:t>F</w:t>
        </w:r>
        <w:r w:rsidR="00C13286" w:rsidRPr="00A801F9">
          <w:rPr>
            <w:rStyle w:val="Hyperlink"/>
            <w:rFonts w:cs="Tahoma"/>
          </w:rPr>
          <w:t xml:space="preserve">unding </w:t>
        </w:r>
        <w:r w:rsidR="00A801F9" w:rsidRPr="00A801F9">
          <w:rPr>
            <w:rStyle w:val="Hyperlink"/>
            <w:rFonts w:cs="Tahoma"/>
          </w:rPr>
          <w:t>R</w:t>
        </w:r>
        <w:r w:rsidR="00C13286" w:rsidRPr="00A801F9">
          <w:rPr>
            <w:rStyle w:val="Hyperlink"/>
            <w:rFonts w:cs="Tahoma"/>
          </w:rPr>
          <w:t>esources webpage</w:t>
        </w:r>
      </w:hyperlink>
      <w:r>
        <w:t xml:space="preserve">; </w:t>
      </w:r>
      <w:r>
        <w:rPr>
          <w:rFonts w:cs="Tahoma"/>
        </w:rPr>
        <w:t>and</w:t>
      </w:r>
      <w:r w:rsidRPr="4F866C06">
        <w:rPr>
          <w:rFonts w:cs="Tahoma"/>
        </w:rPr>
        <w:t xml:space="preserve"> </w:t>
      </w:r>
      <w:r>
        <w:rPr>
          <w:rFonts w:cs="Tahoma"/>
        </w:rPr>
        <w:t>(3) Special Terms and Conditions for DEBA projects</w:t>
      </w:r>
      <w:r>
        <w:t xml:space="preserve"> that may be published with the Final Solicitation.</w:t>
      </w:r>
    </w:p>
    <w:p w14:paraId="4A1806EC" w14:textId="77777777" w:rsidR="00674AE1" w:rsidRDefault="00674AE1" w:rsidP="00674AE1">
      <w:pPr>
        <w:rPr>
          <w:b/>
          <w:bCs/>
        </w:rPr>
      </w:pPr>
      <w:r>
        <w:t xml:space="preserve">Failure to agree to the terms and conditions by taking actions such as failing to provide the required authorizations and certifications or indicating that acceptance of the award is based on modification of the terms may result in </w:t>
      </w:r>
      <w:r w:rsidRPr="00F43C89">
        <w:t>rejection</w:t>
      </w:r>
      <w:r>
        <w:t xml:space="preserve"> of the application. Applicants </w:t>
      </w:r>
      <w:r w:rsidRPr="00F43C89">
        <w:t>must</w:t>
      </w:r>
      <w:r>
        <w:t xml:space="preserve"> </w:t>
      </w:r>
      <w:r w:rsidRPr="00F43C89">
        <w:t xml:space="preserve">read </w:t>
      </w:r>
      <w:r>
        <w:t>the terms and conditions carefully before applying.</w:t>
      </w:r>
      <w:r w:rsidRPr="353A50E1">
        <w:rPr>
          <w:b/>
          <w:bCs/>
        </w:rPr>
        <w:t xml:space="preserve"> </w:t>
      </w:r>
    </w:p>
    <w:p w14:paraId="16CE61D4" w14:textId="77777777" w:rsidR="00674AE1" w:rsidRDefault="00674AE1" w:rsidP="00674AE1">
      <w:r>
        <w:t>The CEC reserves the right to modify the terms and conditions</w:t>
      </w:r>
      <w:r w:rsidRPr="353A50E1">
        <w:rPr>
          <w:b/>
          <w:bCs/>
        </w:rPr>
        <w:t xml:space="preserve"> </w:t>
      </w:r>
      <w:r>
        <w:t>prior to executing grant agreements.</w:t>
      </w:r>
      <w:r w:rsidRPr="00F05852">
        <w:t xml:space="preserve"> </w:t>
      </w:r>
      <w:r>
        <w:t>T</w:t>
      </w:r>
      <w:r w:rsidRPr="001F4232">
        <w:t xml:space="preserve">he terms and conditions included in this </w:t>
      </w:r>
      <w:r>
        <w:t>s</w:t>
      </w:r>
      <w:r w:rsidRPr="001F4232">
        <w:t>olicitation are subject to change based on</w:t>
      </w:r>
      <w:r>
        <w:t xml:space="preserve"> </w:t>
      </w:r>
      <w:r w:rsidRPr="001F4232">
        <w:t>any project</w:t>
      </w:r>
      <w:r>
        <w:t>-</w:t>
      </w:r>
      <w:r w:rsidRPr="001F4232">
        <w:t xml:space="preserve">specific special terms and conditions the </w:t>
      </w:r>
      <w:r>
        <w:t>CEC</w:t>
      </w:r>
      <w:r w:rsidRPr="001F4232">
        <w:t xml:space="preserve"> deems appropriate for a particular award.</w:t>
      </w:r>
    </w:p>
    <w:p w14:paraId="068BD08B" w14:textId="77777777" w:rsidR="00674AE1" w:rsidRPr="008E0401" w:rsidRDefault="00674AE1" w:rsidP="00674AE1">
      <w:pPr>
        <w:pStyle w:val="Heading4"/>
        <w:numPr>
          <w:ilvl w:val="0"/>
          <w:numId w:val="58"/>
        </w:numPr>
        <w:tabs>
          <w:tab w:val="num" w:pos="360"/>
        </w:tabs>
        <w:ind w:left="0" w:firstLine="0"/>
      </w:pPr>
      <w:bookmarkStart w:id="127" w:name="_Toc243558518"/>
      <w:r w:rsidRPr="00FD7064">
        <w:t xml:space="preserve">Tribal </w:t>
      </w:r>
      <w:r w:rsidRPr="00987EFD">
        <w:t>Requirements</w:t>
      </w:r>
      <w:bookmarkEnd w:id="127"/>
    </w:p>
    <w:p w14:paraId="3CCC25C2" w14:textId="77777777" w:rsidR="00674AE1" w:rsidRPr="006E25E7" w:rsidRDefault="00674AE1" w:rsidP="00674AE1">
      <w:pPr>
        <w:rPr>
          <w:rFonts w:cs="Tahoma"/>
          <w:szCs w:val="24"/>
        </w:rPr>
      </w:pPr>
      <w:bookmarkStart w:id="128" w:name="_Hlk80609093"/>
      <w:r w:rsidRPr="006E25E7">
        <w:rPr>
          <w:rFonts w:cs="Tahoma"/>
          <w:szCs w:val="24"/>
        </w:rPr>
        <w:t>If a California Native American Tribe (Tribe) or a California Tribal Organization serving a California Native American Tribe (Tribal Organization) with sovereign immunity is listed as a proposed awardee in the Notice of Proposed Awards (NOPA), before bringing the proposed award to a Business Meeting, CEC staff must receive (a) resolution(s) or other authorizing document(s) by the governing body of the Tribe or Tribal Organization which:</w:t>
      </w:r>
    </w:p>
    <w:p w14:paraId="7ED16554" w14:textId="77777777" w:rsidR="00674AE1" w:rsidRPr="006E25E7" w:rsidRDefault="00674AE1" w:rsidP="00674AE1">
      <w:pPr>
        <w:pStyle w:val="ListParagraph"/>
        <w:numPr>
          <w:ilvl w:val="0"/>
          <w:numId w:val="45"/>
        </w:numPr>
        <w:spacing w:before="80" w:after="80"/>
        <w:ind w:left="1080"/>
        <w:contextualSpacing w:val="0"/>
        <w:rPr>
          <w:rFonts w:cs="Tahoma"/>
          <w:szCs w:val="24"/>
        </w:rPr>
      </w:pPr>
      <w:r w:rsidRPr="006E25E7">
        <w:rPr>
          <w:rFonts w:cs="Tahoma"/>
          <w:szCs w:val="24"/>
        </w:rPr>
        <w:t>Authorizes the Tribe or Tribal Organization to enter into the proposed agreement, including accepting the Special Terms and Conditions for California Native American Tribes and California Tribal Organizations Serving California Native American Tribes with Sovereign Immunity, including the Limited Waiver of Sovereign Immunity and Consent to Jurisdiction; and</w:t>
      </w:r>
    </w:p>
    <w:p w14:paraId="42295043" w14:textId="66392301" w:rsidR="00674AE1" w:rsidRPr="00D44C2D" w:rsidRDefault="00674AE1" w:rsidP="00674AE1">
      <w:pPr>
        <w:pStyle w:val="ListParagraph"/>
        <w:numPr>
          <w:ilvl w:val="0"/>
          <w:numId w:val="45"/>
        </w:numPr>
        <w:spacing w:before="80" w:after="80"/>
        <w:ind w:left="1080"/>
        <w:contextualSpacing w:val="0"/>
        <w:rPr>
          <w:rFonts w:cs="Tahoma"/>
          <w:szCs w:val="24"/>
        </w:rPr>
      </w:pPr>
      <w:r w:rsidRPr="006E25E7">
        <w:rPr>
          <w:rFonts w:cs="Tahoma"/>
          <w:szCs w:val="24"/>
        </w:rPr>
        <w:t>Approves a limited waiver of tribal sovereign immunity</w:t>
      </w:r>
      <w:r w:rsidRPr="00D44C2D">
        <w:rPr>
          <w:rFonts w:cs="Tahoma"/>
          <w:szCs w:val="24"/>
        </w:rPr>
        <w:t xml:space="preserve">, to the extent that any such sovereign immunity exists, for </w:t>
      </w:r>
      <w:proofErr w:type="gramStart"/>
      <w:r w:rsidRPr="00D44C2D">
        <w:rPr>
          <w:rFonts w:cs="Tahoma"/>
          <w:szCs w:val="24"/>
        </w:rPr>
        <w:t>any and all</w:t>
      </w:r>
      <w:proofErr w:type="gramEnd"/>
      <w:r w:rsidRPr="00D44C2D">
        <w:rPr>
          <w:rFonts w:cs="Tahoma"/>
          <w:szCs w:val="24"/>
        </w:rPr>
        <w:t xml:space="preserve"> claims by the CEC that may arise relating to this Agreement and any remedies therefore under the laws of the </w:t>
      </w:r>
      <w:r>
        <w:rPr>
          <w:rFonts w:cs="Tahoma"/>
          <w:szCs w:val="24"/>
        </w:rPr>
        <w:t>State</w:t>
      </w:r>
      <w:r w:rsidRPr="00D44C2D">
        <w:rPr>
          <w:rFonts w:cs="Tahoma"/>
          <w:szCs w:val="24"/>
        </w:rPr>
        <w:t xml:space="preserve"> of California and the laws of the United States of America; and</w:t>
      </w:r>
    </w:p>
    <w:p w14:paraId="45F8E0D9" w14:textId="77777777" w:rsidR="00674AE1" w:rsidRPr="00D44C2D" w:rsidRDefault="00674AE1" w:rsidP="00674AE1">
      <w:pPr>
        <w:pStyle w:val="ListParagraph"/>
        <w:numPr>
          <w:ilvl w:val="0"/>
          <w:numId w:val="45"/>
        </w:numPr>
        <w:spacing w:before="80" w:after="80"/>
        <w:ind w:left="1080"/>
        <w:contextualSpacing w:val="0"/>
        <w:rPr>
          <w:rFonts w:cs="Tahoma"/>
          <w:szCs w:val="24"/>
        </w:rPr>
      </w:pPr>
      <w:r w:rsidRPr="00D44C2D">
        <w:rPr>
          <w:rFonts w:cs="Tahoma"/>
          <w:szCs w:val="24"/>
        </w:rPr>
        <w:t xml:space="preserve">Consents to personal jurisdiction over the Tribe or Tribal Organization, and consents to venue in any court of the State of California and any federal court sitting in the State of California; and waives any and all claim that the Tribe or Tribal Organization may have, including without limitation that such court is an inconvenient forum, for the purposes of any proceeding related to this Agreement; and, with respect to a proceeding in a court of the State of California or a federal court sitting in the State of California, any requirement that tribal remedies must be exhausted; and </w:t>
      </w:r>
    </w:p>
    <w:p w14:paraId="77D6BBBF" w14:textId="77777777" w:rsidR="00674AE1" w:rsidRPr="00D44C2D" w:rsidRDefault="00674AE1" w:rsidP="00674AE1">
      <w:pPr>
        <w:pStyle w:val="ListParagraph"/>
        <w:numPr>
          <w:ilvl w:val="0"/>
          <w:numId w:val="45"/>
        </w:numPr>
        <w:spacing w:before="80" w:after="80"/>
        <w:ind w:left="1080"/>
        <w:contextualSpacing w:val="0"/>
        <w:rPr>
          <w:rFonts w:cs="Tahoma"/>
          <w:szCs w:val="24"/>
        </w:rPr>
      </w:pPr>
      <w:r w:rsidRPr="00D44C2D">
        <w:rPr>
          <w:rFonts w:cs="Tahoma"/>
          <w:szCs w:val="24"/>
        </w:rPr>
        <w:t xml:space="preserve">Delegates authority to execute the proposed agreement to an appropriate individual. </w:t>
      </w:r>
    </w:p>
    <w:p w14:paraId="03ED8334" w14:textId="77777777" w:rsidR="00674AE1" w:rsidRPr="00D44C2D" w:rsidRDefault="00674AE1" w:rsidP="00674AE1">
      <w:r w:rsidRPr="00D44C2D">
        <w:lastRenderedPageBreak/>
        <w:t xml:space="preserve">The above requirements may be provided in one or more documents. The document(s) will be included as an exhibit to the resulting grant agreement. </w:t>
      </w:r>
    </w:p>
    <w:p w14:paraId="49CF1C42" w14:textId="77777777" w:rsidR="00674AE1" w:rsidRDefault="00674AE1" w:rsidP="00674AE1">
      <w:pPr>
        <w:pStyle w:val="Heading4"/>
        <w:numPr>
          <w:ilvl w:val="0"/>
          <w:numId w:val="58"/>
        </w:numPr>
        <w:tabs>
          <w:tab w:val="num" w:pos="360"/>
        </w:tabs>
        <w:ind w:left="0" w:firstLine="0"/>
      </w:pPr>
      <w:bookmarkStart w:id="129" w:name="_Toc243558519"/>
      <w:r w:rsidRPr="00D44C2D">
        <w:t>Delay in award</w:t>
      </w:r>
      <w:bookmarkEnd w:id="129"/>
      <w:r w:rsidRPr="00D44C2D">
        <w:rPr>
          <w:szCs w:val="24"/>
        </w:rPr>
        <w:t xml:space="preserve"> </w:t>
      </w:r>
    </w:p>
    <w:p w14:paraId="297BFCED" w14:textId="77777777" w:rsidR="00674AE1" w:rsidRPr="00D44C2D" w:rsidRDefault="00674AE1" w:rsidP="00674AE1">
      <w:pPr>
        <w:rPr>
          <w:rFonts w:cs="Tahoma"/>
          <w:szCs w:val="24"/>
        </w:rPr>
      </w:pPr>
      <w:r w:rsidRPr="00D44C2D">
        <w:rPr>
          <w:rFonts w:cs="Tahoma"/>
          <w:szCs w:val="24"/>
        </w:rPr>
        <w:t xml:space="preserve">Any delay in the Tribe or Tribal Organization’s ability to provide the documentation specified in </w:t>
      </w:r>
      <w:r>
        <w:rPr>
          <w:rFonts w:cs="Tahoma"/>
          <w:szCs w:val="24"/>
        </w:rPr>
        <w:t>S</w:t>
      </w:r>
      <w:r w:rsidRPr="00D44C2D">
        <w:rPr>
          <w:rFonts w:cs="Tahoma"/>
          <w:szCs w:val="24"/>
        </w:rPr>
        <w:t xml:space="preserve">ection </w:t>
      </w:r>
      <w:r>
        <w:rPr>
          <w:rFonts w:cs="Tahoma"/>
          <w:szCs w:val="24"/>
        </w:rPr>
        <w:t>II.A.3 “Tribal Requirements”</w:t>
      </w:r>
      <w:r w:rsidRPr="00D44C2D">
        <w:rPr>
          <w:rFonts w:cs="Tahoma"/>
          <w:szCs w:val="24"/>
        </w:rPr>
        <w:t xml:space="preserve"> above may result in delayed award of the grant agreement.</w:t>
      </w:r>
    </w:p>
    <w:p w14:paraId="14A2C79F" w14:textId="77777777" w:rsidR="00674AE1" w:rsidRPr="008E0401" w:rsidRDefault="00674AE1" w:rsidP="00674AE1">
      <w:pPr>
        <w:pStyle w:val="Heading4"/>
        <w:numPr>
          <w:ilvl w:val="0"/>
          <w:numId w:val="58"/>
        </w:numPr>
        <w:tabs>
          <w:tab w:val="num" w:pos="360"/>
        </w:tabs>
        <w:ind w:left="0" w:firstLine="0"/>
      </w:pPr>
      <w:bookmarkStart w:id="130" w:name="_Toc243558520"/>
      <w:r w:rsidRPr="008E0401">
        <w:t>Reservation of Right to Cancel</w:t>
      </w:r>
      <w:r>
        <w:t xml:space="preserve"> Proposed Award</w:t>
      </w:r>
      <w:bookmarkEnd w:id="130"/>
    </w:p>
    <w:p w14:paraId="43D0E917" w14:textId="77777777" w:rsidR="00674AE1" w:rsidRPr="00C24522" w:rsidRDefault="00674AE1" w:rsidP="00674AE1">
      <w:r w:rsidRPr="00DD17F7">
        <w:t xml:space="preserve">Funds available under this solicitation have encumbrance deadlines which the CEC must meet to avoid expiration of the funds. In addition to any other rights reserved to it under this solicitation or that it otherwise has, the CEC reserves the right to cancel a proposed award if it determines, in its sole and absolute discretion, that the documentation described above would likely not be provided prior to an encumbrance deadline, and that the CEC’s ability to meet its encumbrance deadline may thereby be jeopardized. In this instance, the CEC may cancel the proposed award and </w:t>
      </w:r>
      <w:r>
        <w:t xml:space="preserve">may </w:t>
      </w:r>
      <w:r w:rsidRPr="00DD17F7">
        <w:t xml:space="preserve">award funds to the next highest scoring </w:t>
      </w:r>
      <w:bookmarkEnd w:id="128"/>
      <w:r>
        <w:t>A</w:t>
      </w:r>
      <w:r w:rsidRPr="00DD17F7">
        <w:t>pplican</w:t>
      </w:r>
      <w:r>
        <w:t>t</w:t>
      </w:r>
      <w:r w:rsidRPr="00DD17F7">
        <w:t xml:space="preserve">. </w:t>
      </w:r>
    </w:p>
    <w:p w14:paraId="408AF863" w14:textId="77777777" w:rsidR="00674AE1" w:rsidRPr="00C07F85" w:rsidRDefault="00674AE1" w:rsidP="00674AE1">
      <w:pPr>
        <w:pStyle w:val="Heading4"/>
        <w:numPr>
          <w:ilvl w:val="0"/>
          <w:numId w:val="58"/>
        </w:numPr>
        <w:tabs>
          <w:tab w:val="num" w:pos="360"/>
        </w:tabs>
        <w:ind w:left="0" w:firstLine="0"/>
      </w:pPr>
      <w:bookmarkStart w:id="131" w:name="_Toc243558521"/>
      <w:r w:rsidRPr="00C07F85">
        <w:t>California Secretary of State Registration</w:t>
      </w:r>
      <w:bookmarkEnd w:id="131"/>
    </w:p>
    <w:p w14:paraId="2E67D06C" w14:textId="577730A2" w:rsidR="00674AE1" w:rsidRPr="000A0DB4" w:rsidRDefault="00674AE1" w:rsidP="00674AE1">
      <w:r>
        <w:t>To be named as a recipient, subrecipient (at any level), subcontractor, or vendor in a grant agreement, all corporations, limited liability companies (LLCs), limited partnerships (LPs) and limited liability partnerships (LLPs</w:t>
      </w:r>
      <w:r w:rsidRPr="00C07F85">
        <w:t>) that conduct intrastate business in California</w:t>
      </w:r>
      <w:r>
        <w:t xml:space="preserve"> are required to be registered and in good standing with the California Secretary of State prior to the project being recommended for approval at a CEC Business Meeting. If any such entity named in an application is not registered with the California Secretary of State at the time of application submittal, the applicant is encouraged to contact the Secret</w:t>
      </w:r>
      <w:r w:rsidRPr="000A0DB4">
        <w:t>ary of State’s Office</w:t>
      </w:r>
      <w:r>
        <w:t>, as applicable,</w:t>
      </w:r>
      <w:r w:rsidRPr="000A0DB4">
        <w:t xml:space="preserve"> as soon as possible to avoid potential delays in beginning the proposed project(s) (should the application be proposed for funding). Applicants should provide the exact legal names of </w:t>
      </w:r>
      <w:r>
        <w:t xml:space="preserve">all </w:t>
      </w:r>
      <w:r w:rsidRPr="000A0DB4">
        <w:t>entities included in their applications, along with any fictitious business names. Fictitious business names must be currently valid, i.e., not expired with the Secretary of State. As part of the CEC’s due diligence, particularly during the agreement development phase, CEC staff may request the supporting documentation regarding the above registration requirements.</w:t>
      </w:r>
    </w:p>
    <w:p w14:paraId="5FB38CA2" w14:textId="01598D1A" w:rsidR="00674AE1" w:rsidRPr="000A0DB4" w:rsidRDefault="00674AE1" w:rsidP="00674AE1">
      <w:r w:rsidRPr="000A0DB4">
        <w:t>For more information, contact the Secretary of State’s Office via its website at</w:t>
      </w:r>
      <w:r w:rsidR="00BF20B7">
        <w:t xml:space="preserve"> </w:t>
      </w:r>
      <w:hyperlink r:id="rId33" w:history="1">
        <w:r w:rsidR="00D2752A" w:rsidRPr="00D2752A">
          <w:rPr>
            <w:rStyle w:val="Hyperlink"/>
            <w:rFonts w:cs="Arial"/>
          </w:rPr>
          <w:t>http://www.sos.ca.g</w:t>
        </w:r>
        <w:r w:rsidR="00D2752A" w:rsidRPr="00D2752A">
          <w:rPr>
            <w:rStyle w:val="Hyperlink"/>
            <w:rFonts w:cs="Arial"/>
          </w:rPr>
          <w:t>o</w:t>
        </w:r>
        <w:r w:rsidR="00D2752A" w:rsidRPr="00D2752A">
          <w:rPr>
            <w:rStyle w:val="Hyperlink"/>
            <w:rFonts w:cs="Arial"/>
          </w:rPr>
          <w:t>v</w:t>
        </w:r>
      </w:hyperlink>
      <w:r w:rsidRPr="000A0DB4">
        <w:t>. Sole proprietors do not have to be registered with the California Secretary of State. However, the local government may require a business license and if using a fictitious business name, registration of the name may be required. Sole proprietors must be able to provide evidence of required licenses and/or registration with the appropriate local government, or evidence that such licenses and/or registration is not required, to the CEC prior to the project being recommended for approval at a CEC Business Meeting.</w:t>
      </w:r>
    </w:p>
    <w:p w14:paraId="0627150C" w14:textId="77777777" w:rsidR="00674AE1" w:rsidRPr="00756BAC" w:rsidRDefault="00674AE1" w:rsidP="0057615A">
      <w:pPr>
        <w:pStyle w:val="Heading3"/>
        <w:ind w:left="0"/>
      </w:pPr>
      <w:bookmarkStart w:id="132" w:name="_Toc243558522"/>
      <w:r w:rsidRPr="00756BAC">
        <w:lastRenderedPageBreak/>
        <w:t xml:space="preserve">Project </w:t>
      </w:r>
      <w:r>
        <w:t>Requirements</w:t>
      </w:r>
      <w:bookmarkEnd w:id="132"/>
    </w:p>
    <w:p w14:paraId="245F19F2" w14:textId="77777777" w:rsidR="00674AE1" w:rsidRDefault="00674AE1" w:rsidP="00674AE1">
      <w:pPr>
        <w:pStyle w:val="Heading4"/>
        <w:numPr>
          <w:ilvl w:val="0"/>
          <w:numId w:val="59"/>
        </w:numPr>
        <w:tabs>
          <w:tab w:val="num" w:pos="360"/>
        </w:tabs>
        <w:ind w:left="0" w:firstLine="0"/>
      </w:pPr>
      <w:bookmarkStart w:id="133" w:name="_Toc243558523"/>
      <w:r>
        <w:t>Location and Site</w:t>
      </w:r>
      <w:bookmarkEnd w:id="133"/>
      <w:r>
        <w:t xml:space="preserve"> </w:t>
      </w:r>
    </w:p>
    <w:p w14:paraId="6F730F4F" w14:textId="065FB894" w:rsidR="00674AE1" w:rsidRDefault="00674AE1" w:rsidP="00674AE1">
      <w:r>
        <w:t xml:space="preserve">All proposed projects must </w:t>
      </w:r>
      <w:proofErr w:type="gramStart"/>
      <w:r>
        <w:t>be located in</w:t>
      </w:r>
      <w:proofErr w:type="gramEnd"/>
      <w:r>
        <w:t xml:space="preserve"> California, with the </w:t>
      </w:r>
      <w:r w:rsidR="0060637B">
        <w:t>DEBA</w:t>
      </w:r>
      <w:r w:rsidR="00564CE9">
        <w:t>-</w:t>
      </w:r>
      <w:r w:rsidR="0060637B">
        <w:t xml:space="preserve">funded </w:t>
      </w:r>
      <w:r>
        <w:t xml:space="preserve">DER equipment </w:t>
      </w:r>
      <w:r w:rsidR="0060637B">
        <w:t xml:space="preserve">installed at existing or new facilities and </w:t>
      </w:r>
      <w:r>
        <w:t>connected to the distribution grid of a California utility. Behind-the-meter (BTM) or front-of-the-meter (FTM) projects are eligible. Projects serving non-residential and/or aggregated residential end users are eligible.</w:t>
      </w:r>
    </w:p>
    <w:p w14:paraId="57E027C7" w14:textId="44F18FF5" w:rsidR="00B90C50" w:rsidRDefault="00B90C50" w:rsidP="00674AE1">
      <w:r w:rsidRPr="00B90C50">
        <w:t>Technologies that discharge power must have a suitable grid interconnection permit from the applicable utility to operate in parallel to the grid (including non-exporting BTM projects) by the time the project is expected to be operational.</w:t>
      </w:r>
    </w:p>
    <w:p w14:paraId="2C1F44F5" w14:textId="2138B3D9" w:rsidR="00674AE1" w:rsidRDefault="0030474E" w:rsidP="00674AE1">
      <w:r>
        <w:t xml:space="preserve">An application </w:t>
      </w:r>
      <w:r w:rsidR="00674AE1">
        <w:t>may propose DER equipment installation at a single site or multiple distinct sites. For BTM non-residential projects or FTM projects, t</w:t>
      </w:r>
      <w:r w:rsidR="00674AE1" w:rsidDel="00ED495D">
        <w:t>he</w:t>
      </w:r>
      <w:r w:rsidR="00674AE1">
        <w:t xml:space="preserve"> site(s) must be under the Applicant’s control at the time of application submission. If an Applicant proposes multiple, geographically distinct sites within a single application, each site will be classified as a “subproject” for the purposes of completing environmental review. </w:t>
      </w:r>
      <w:r w:rsidR="00674AE1" w:rsidDel="006818D0">
        <w:t xml:space="preserve"> </w:t>
      </w:r>
    </w:p>
    <w:p w14:paraId="46A53D33" w14:textId="3394FC6D" w:rsidR="00674AE1" w:rsidRDefault="00CD1012" w:rsidP="00674AE1">
      <w:r>
        <w:t xml:space="preserve">An application with a proposal involving </w:t>
      </w:r>
      <w:r w:rsidR="00674AE1">
        <w:t xml:space="preserve">BTM non-residential projects or FTM projects must describe and </w:t>
      </w:r>
      <w:r>
        <w:t xml:space="preserve">include </w:t>
      </w:r>
      <w:r w:rsidR="00674AE1">
        <w:t xml:space="preserve">documentation of verified site control for the proposed project (including any geographically distinct subprojects, if applicable) including but not limited to an executed lease agreement, executed host site agreement, recorded easement, or proof of property. If a project partner is providing the site, a Letter of Commitment is required </w:t>
      </w:r>
      <w:r w:rsidR="002544B6">
        <w:t>that identifies the site location and unconditionally commits to providing the site for the proposed activities</w:t>
      </w:r>
      <w:r w:rsidR="002A3CDB">
        <w:t xml:space="preserve"> </w:t>
      </w:r>
      <w:r w:rsidR="00674AE1">
        <w:t>(see Attachment 09). Submitted documentation, including Letters of Commitment, should be marked as completed in the Project Readiness Checklist (Attachment 12).</w:t>
      </w:r>
      <w:r w:rsidR="00674AE1" w:rsidRPr="00C207A5">
        <w:t xml:space="preserve"> </w:t>
      </w:r>
    </w:p>
    <w:p w14:paraId="75F11A82" w14:textId="1E26C29C" w:rsidR="00100199" w:rsidRDefault="00674AE1" w:rsidP="00674AE1">
      <w:r>
        <w:t>Applications involving residential sites are not subject to site identification requirements at the time of application submission. However, the Applicant should describe how residential sites would be identified and qualified for installing proposed equipment.</w:t>
      </w:r>
    </w:p>
    <w:p w14:paraId="7684E19E" w14:textId="77777777" w:rsidR="00674AE1" w:rsidRDefault="00674AE1" w:rsidP="00674AE1">
      <w:pPr>
        <w:pStyle w:val="Heading4"/>
        <w:numPr>
          <w:ilvl w:val="0"/>
          <w:numId w:val="59"/>
        </w:numPr>
        <w:tabs>
          <w:tab w:val="num" w:pos="360"/>
        </w:tabs>
        <w:ind w:left="0" w:firstLine="0"/>
      </w:pPr>
      <w:bookmarkStart w:id="134" w:name="_Toc243558524"/>
      <w:r>
        <w:t>Eligible Technologies</w:t>
      </w:r>
      <w:bookmarkEnd w:id="134"/>
    </w:p>
    <w:p w14:paraId="62D05F23" w14:textId="09A99855" w:rsidR="00674AE1" w:rsidRDefault="00674AE1" w:rsidP="00674AE1">
      <w:r>
        <w:t>Eligible technologies must be new, zero-emission</w:t>
      </w:r>
      <w:r w:rsidR="0040132F">
        <w:rPr>
          <w:rStyle w:val="FootnoteReference"/>
        </w:rPr>
        <w:footnoteReference w:id="6"/>
      </w:r>
      <w:r>
        <w:t xml:space="preserve"> DERs that are commercially available (Technology Readiness Level (TRL) 9 or greater)</w:t>
      </w:r>
      <w:r w:rsidR="00837FAD">
        <w:t xml:space="preserve"> at the time of application</w:t>
      </w:r>
      <w:r>
        <w:t xml:space="preserve">. A project proposed in an application can consist of one or more eligible technologies </w:t>
      </w:r>
      <w:r w:rsidR="00D67D83">
        <w:t xml:space="preserve">among the four equipment </w:t>
      </w:r>
      <w:r w:rsidR="008F0B31">
        <w:t>categories</w:t>
      </w:r>
      <w:r w:rsidR="006C5529">
        <w:t xml:space="preserve"> </w:t>
      </w:r>
      <w:r>
        <w:t>listed below in this section, subject to performance pathways requirements (see Section II.B.5).</w:t>
      </w:r>
      <w:r w:rsidR="00CC13F0">
        <w:t xml:space="preserve"> </w:t>
      </w:r>
    </w:p>
    <w:p w14:paraId="6EDE9B8D" w14:textId="64E2F817" w:rsidR="00674AE1" w:rsidRPr="00924691" w:rsidRDefault="00674AE1" w:rsidP="00674AE1">
      <w:r>
        <w:t xml:space="preserve">Examples of eligible technologies </w:t>
      </w:r>
      <w:r w:rsidR="008F0B31">
        <w:t xml:space="preserve">under each of the four </w:t>
      </w:r>
      <w:r w:rsidR="00B25B58">
        <w:t xml:space="preserve">equipment </w:t>
      </w:r>
      <w:r w:rsidR="008F0B31">
        <w:t xml:space="preserve">categories </w:t>
      </w:r>
      <w:r>
        <w:t>include but are not limited to</w:t>
      </w:r>
      <w:r w:rsidRPr="00924691">
        <w:t>: </w:t>
      </w:r>
    </w:p>
    <w:p w14:paraId="6D026841" w14:textId="77777777" w:rsidR="00674AE1" w:rsidRPr="00924691" w:rsidRDefault="00674AE1" w:rsidP="00674AE1">
      <w:pPr>
        <w:numPr>
          <w:ilvl w:val="0"/>
          <w:numId w:val="19"/>
        </w:numPr>
        <w:tabs>
          <w:tab w:val="clear" w:pos="720"/>
          <w:tab w:val="num" w:pos="1080"/>
        </w:tabs>
        <w:ind w:left="1080"/>
      </w:pPr>
      <w:r w:rsidRPr="00924691">
        <w:rPr>
          <w:b/>
          <w:bCs/>
        </w:rPr>
        <w:lastRenderedPageBreak/>
        <w:t>Energy Storage</w:t>
      </w:r>
      <w:r w:rsidRPr="00924691">
        <w:t>. </w:t>
      </w:r>
    </w:p>
    <w:p w14:paraId="10668585" w14:textId="77777777" w:rsidR="00674AE1" w:rsidRPr="00924691" w:rsidRDefault="00674AE1" w:rsidP="00674AE1">
      <w:pPr>
        <w:numPr>
          <w:ilvl w:val="0"/>
          <w:numId w:val="20"/>
        </w:numPr>
        <w:ind w:left="1440"/>
      </w:pPr>
      <w:r w:rsidRPr="00924691">
        <w:t xml:space="preserve">Battery </w:t>
      </w:r>
      <w:r>
        <w:t>e</w:t>
      </w:r>
      <w:r w:rsidRPr="00924691">
        <w:t xml:space="preserve">nergy </w:t>
      </w:r>
      <w:r>
        <w:t>s</w:t>
      </w:r>
      <w:r w:rsidRPr="00924691">
        <w:t xml:space="preserve">torage </w:t>
      </w:r>
      <w:r>
        <w:t>s</w:t>
      </w:r>
      <w:r w:rsidRPr="00924691">
        <w:t>ystem (BESS) </w:t>
      </w:r>
      <w:r>
        <w:t>storing energy as chemical energy</w:t>
      </w:r>
    </w:p>
    <w:p w14:paraId="481CF531" w14:textId="77777777" w:rsidR="00674AE1" w:rsidRPr="00924691" w:rsidRDefault="00674AE1" w:rsidP="00674AE1">
      <w:pPr>
        <w:numPr>
          <w:ilvl w:val="0"/>
          <w:numId w:val="21"/>
        </w:numPr>
        <w:ind w:left="1440"/>
      </w:pPr>
      <w:r w:rsidRPr="00924691">
        <w:t>Thermal energy storage </w:t>
      </w:r>
      <w:r>
        <w:t>(TES)</w:t>
      </w:r>
    </w:p>
    <w:p w14:paraId="19F72348" w14:textId="77777777" w:rsidR="00674AE1" w:rsidRPr="00924691" w:rsidRDefault="00674AE1" w:rsidP="00674AE1">
      <w:pPr>
        <w:numPr>
          <w:ilvl w:val="0"/>
          <w:numId w:val="22"/>
        </w:numPr>
        <w:ind w:left="1440"/>
      </w:pPr>
      <w:r w:rsidRPr="00924691">
        <w:t>Other mechanical or gravitational storage equipment, such as pumped hydroelectric </w:t>
      </w:r>
    </w:p>
    <w:p w14:paraId="391149C3" w14:textId="77777777" w:rsidR="00674AE1" w:rsidRPr="00924691" w:rsidRDefault="00674AE1" w:rsidP="00674AE1">
      <w:pPr>
        <w:numPr>
          <w:ilvl w:val="0"/>
          <w:numId w:val="23"/>
        </w:numPr>
        <w:ind w:left="1440"/>
      </w:pPr>
      <w:r>
        <w:t>BESS</w:t>
      </w:r>
      <w:r w:rsidRPr="00924691">
        <w:t xml:space="preserve"> as part of vehicle-grid integration (VGI)</w:t>
      </w:r>
      <w:r w:rsidRPr="00A32E31">
        <w:t> infrastructure</w:t>
      </w:r>
      <w:r w:rsidRPr="00924691">
        <w:t xml:space="preserve">, excluding equipment </w:t>
      </w:r>
      <w:r>
        <w:t>included in</w:t>
      </w:r>
      <w:r w:rsidRPr="00924691">
        <w:t xml:space="preserve"> the vehicle   </w:t>
      </w:r>
    </w:p>
    <w:p w14:paraId="6747980D" w14:textId="40BD432D" w:rsidR="00674AE1" w:rsidRPr="00191A2D" w:rsidRDefault="00674AE1" w:rsidP="004E659E">
      <w:pPr>
        <w:numPr>
          <w:ilvl w:val="0"/>
          <w:numId w:val="24"/>
        </w:numPr>
        <w:tabs>
          <w:tab w:val="clear" w:pos="720"/>
          <w:tab w:val="num" w:pos="1080"/>
        </w:tabs>
        <w:ind w:left="1080"/>
      </w:pPr>
      <w:r w:rsidRPr="00191A2D">
        <w:rPr>
          <w:b/>
          <w:bCs/>
        </w:rPr>
        <w:t>Load Flexibility Enabling Technologies.</w:t>
      </w:r>
      <w:r>
        <w:t xml:space="preserve"> </w:t>
      </w:r>
      <w:r w:rsidR="00C51087">
        <w:t xml:space="preserve">Controllers added to </w:t>
      </w:r>
      <w:r w:rsidR="003A4D6E">
        <w:t>equipment</w:t>
      </w:r>
      <w:r w:rsidR="00C51087">
        <w:t xml:space="preserve"> to enable load flex</w:t>
      </w:r>
      <w:r w:rsidR="00B8257D">
        <w:t>ibility</w:t>
      </w:r>
      <w:r w:rsidR="00863864">
        <w:t xml:space="preserve"> (to reduce/shift energy consumption or supply energy</w:t>
      </w:r>
      <w:r w:rsidR="00480951">
        <w:t xml:space="preserve"> in response to a signal</w:t>
      </w:r>
      <w:r w:rsidR="00863864">
        <w:t>)</w:t>
      </w:r>
      <w:r w:rsidR="00C51087">
        <w:t>.</w:t>
      </w:r>
    </w:p>
    <w:p w14:paraId="40A11F3D" w14:textId="2258FB39" w:rsidR="00674AE1" w:rsidRPr="00924691" w:rsidRDefault="00674AE1" w:rsidP="00674AE1">
      <w:pPr>
        <w:numPr>
          <w:ilvl w:val="0"/>
          <w:numId w:val="25"/>
        </w:numPr>
        <w:ind w:left="1440"/>
      </w:pPr>
      <w:r w:rsidRPr="00924691">
        <w:t>Smart thermostats and other </w:t>
      </w:r>
      <w:r>
        <w:t>Heating, Ventilation, and Air Conditioning (</w:t>
      </w:r>
      <w:r w:rsidRPr="00924691">
        <w:t>HVAC</w:t>
      </w:r>
      <w:r>
        <w:t>)</w:t>
      </w:r>
      <w:r w:rsidRPr="00924691">
        <w:t> control</w:t>
      </w:r>
      <w:r w:rsidR="002F7FE4">
        <w:t>ler</w:t>
      </w:r>
      <w:r w:rsidRPr="00924691">
        <w:t>s </w:t>
      </w:r>
    </w:p>
    <w:p w14:paraId="00382BF3" w14:textId="77777777" w:rsidR="00674AE1" w:rsidRPr="00924691" w:rsidRDefault="00674AE1" w:rsidP="00674AE1">
      <w:pPr>
        <w:numPr>
          <w:ilvl w:val="0"/>
          <w:numId w:val="26"/>
        </w:numPr>
        <w:tabs>
          <w:tab w:val="num" w:pos="360"/>
        </w:tabs>
        <w:ind w:left="1440"/>
      </w:pPr>
      <w:r w:rsidRPr="00924691">
        <w:t>Water heater controllers </w:t>
      </w:r>
    </w:p>
    <w:p w14:paraId="05FAB304" w14:textId="77777777" w:rsidR="00674AE1" w:rsidRPr="00924691" w:rsidRDefault="00674AE1" w:rsidP="00674AE1">
      <w:pPr>
        <w:numPr>
          <w:ilvl w:val="0"/>
          <w:numId w:val="27"/>
        </w:numPr>
        <w:tabs>
          <w:tab w:val="num" w:pos="360"/>
        </w:tabs>
        <w:ind w:left="1440"/>
      </w:pPr>
      <w:r w:rsidRPr="00924691">
        <w:t>Advanced motor controls like variable frequency drives </w:t>
      </w:r>
    </w:p>
    <w:p w14:paraId="7DB25A98" w14:textId="77777777" w:rsidR="00674AE1" w:rsidRPr="00924691" w:rsidRDefault="00674AE1" w:rsidP="00674AE1">
      <w:pPr>
        <w:numPr>
          <w:ilvl w:val="0"/>
          <w:numId w:val="28"/>
        </w:numPr>
        <w:tabs>
          <w:tab w:val="clear" w:pos="1080"/>
          <w:tab w:val="num" w:pos="720"/>
        </w:tabs>
        <w:ind w:left="1440"/>
      </w:pPr>
      <w:r w:rsidRPr="00924691">
        <w:t>Vehicle-grid integration (VGI) </w:t>
      </w:r>
      <w:r w:rsidRPr="00125A1D">
        <w:t>infrastructure</w:t>
      </w:r>
      <w:r w:rsidRPr="00EE5B2D">
        <w:t> </w:t>
      </w:r>
      <w:r w:rsidRPr="00924691">
        <w:t>used for bidirectional charging, excluding equipment on the vehicle   </w:t>
      </w:r>
    </w:p>
    <w:p w14:paraId="3E4A85FF" w14:textId="2673E922" w:rsidR="00674AE1" w:rsidRDefault="00674AE1" w:rsidP="00674AE1">
      <w:pPr>
        <w:numPr>
          <w:ilvl w:val="0"/>
          <w:numId w:val="29"/>
        </w:numPr>
        <w:tabs>
          <w:tab w:val="clear" w:pos="720"/>
          <w:tab w:val="num" w:pos="360"/>
        </w:tabs>
        <w:ind w:left="1080"/>
      </w:pPr>
      <w:r w:rsidRPr="008621CA">
        <w:rPr>
          <w:b/>
          <w:bCs/>
        </w:rPr>
        <w:t xml:space="preserve">Distributed Generation </w:t>
      </w:r>
      <w:r>
        <w:rPr>
          <w:b/>
          <w:bCs/>
        </w:rPr>
        <w:t xml:space="preserve">(DG) </w:t>
      </w:r>
      <w:r w:rsidRPr="008621CA">
        <w:rPr>
          <w:b/>
          <w:bCs/>
        </w:rPr>
        <w:t>Technologies.</w:t>
      </w:r>
      <w:r>
        <w:rPr>
          <w:b/>
          <w:bCs/>
        </w:rPr>
        <w:t xml:space="preserve"> </w:t>
      </w:r>
      <w:r>
        <w:t>Zero-emission generation technologies that generate electricity at or near the point of use.</w:t>
      </w:r>
    </w:p>
    <w:p w14:paraId="6D0A017B" w14:textId="77777777" w:rsidR="00061030" w:rsidRDefault="00674AE1" w:rsidP="00061030">
      <w:pPr>
        <w:numPr>
          <w:ilvl w:val="0"/>
          <w:numId w:val="28"/>
        </w:numPr>
        <w:tabs>
          <w:tab w:val="clear" w:pos="1080"/>
          <w:tab w:val="num" w:pos="720"/>
        </w:tabs>
        <w:ind w:left="1440"/>
      </w:pPr>
      <w:r>
        <w:t>Waste heat-to-power</w:t>
      </w:r>
    </w:p>
    <w:p w14:paraId="6E4A4FF0" w14:textId="37C6ED17" w:rsidR="00A422CB" w:rsidRDefault="00A422CB" w:rsidP="00A422CB">
      <w:pPr>
        <w:numPr>
          <w:ilvl w:val="0"/>
          <w:numId w:val="28"/>
        </w:numPr>
        <w:tabs>
          <w:tab w:val="clear" w:pos="1080"/>
          <w:tab w:val="num" w:pos="720"/>
        </w:tabs>
        <w:ind w:left="1440"/>
      </w:pPr>
      <w:r>
        <w:t xml:space="preserve">Fuel cell and linear generators </w:t>
      </w:r>
      <w:r w:rsidR="00880236">
        <w:t xml:space="preserve">using </w:t>
      </w:r>
      <w:r>
        <w:t>g</w:t>
      </w:r>
      <w:r w:rsidR="00D55F27">
        <w:t>reen hydrogen</w:t>
      </w:r>
      <w:r w:rsidR="00880236">
        <w:rPr>
          <w:rStyle w:val="FootnoteReference"/>
        </w:rPr>
        <w:footnoteReference w:id="7"/>
      </w:r>
      <w:r w:rsidR="00D55F27">
        <w:t xml:space="preserve"> </w:t>
      </w:r>
      <w:r>
        <w:t xml:space="preserve">fuel </w:t>
      </w:r>
      <w:r w:rsidR="00880236">
        <w:t>in a non-combustion process to generate electricity</w:t>
      </w:r>
    </w:p>
    <w:p w14:paraId="537C4F02" w14:textId="2824A2F0" w:rsidR="6572AE22" w:rsidRDefault="00674AE1" w:rsidP="6572AE22">
      <w:pPr>
        <w:numPr>
          <w:ilvl w:val="0"/>
          <w:numId w:val="29"/>
        </w:numPr>
        <w:tabs>
          <w:tab w:val="clear" w:pos="720"/>
          <w:tab w:val="num" w:pos="360"/>
        </w:tabs>
        <w:ind w:left="1080"/>
      </w:pPr>
      <w:r w:rsidRPr="00924691">
        <w:rPr>
          <w:b/>
          <w:bCs/>
        </w:rPr>
        <w:t>Microgrids</w:t>
      </w:r>
      <w:r>
        <w:rPr>
          <w:rStyle w:val="FootnoteReference"/>
          <w:b/>
          <w:bCs/>
        </w:rPr>
        <w:footnoteReference w:id="8"/>
      </w:r>
      <w:r w:rsidRPr="00924691">
        <w:rPr>
          <w:b/>
          <w:bCs/>
        </w:rPr>
        <w:t>. </w:t>
      </w:r>
      <w:r>
        <w:t>E</w:t>
      </w:r>
      <w:r w:rsidRPr="00924691">
        <w:t>quipment necessary to manage and coordinate</w:t>
      </w:r>
      <w:r w:rsidRPr="00125A1D">
        <w:t xml:space="preserve"> BTM</w:t>
      </w:r>
      <w:r>
        <w:t xml:space="preserve"> </w:t>
      </w:r>
      <w:r w:rsidRPr="00924691">
        <w:t>load</w:t>
      </w:r>
      <w:r w:rsidRPr="002D157A">
        <w:t>s</w:t>
      </w:r>
      <w:r w:rsidRPr="00924691">
        <w:t> and generation resources in grid</w:t>
      </w:r>
      <w:r>
        <w:t>-</w:t>
      </w:r>
      <w:r w:rsidRPr="00924691">
        <w:t>tied or island mode</w:t>
      </w:r>
      <w:r>
        <w:t>, such as a microgrid controller</w:t>
      </w:r>
      <w:r w:rsidRPr="00924691">
        <w:t>.</w:t>
      </w:r>
    </w:p>
    <w:p w14:paraId="02371C11" w14:textId="44A15CE8" w:rsidR="00674AE1" w:rsidRDefault="00674AE1" w:rsidP="00674AE1">
      <w:pPr>
        <w:pStyle w:val="Heading4"/>
        <w:numPr>
          <w:ilvl w:val="0"/>
          <w:numId w:val="59"/>
        </w:numPr>
        <w:tabs>
          <w:tab w:val="num" w:pos="360"/>
        </w:tabs>
        <w:ind w:left="0" w:firstLine="0"/>
      </w:pPr>
      <w:bookmarkStart w:id="135" w:name="_Toc243558525"/>
      <w:r>
        <w:t>Ineligible Technologies</w:t>
      </w:r>
      <w:bookmarkEnd w:id="135"/>
    </w:p>
    <w:p w14:paraId="173C7492" w14:textId="77777777" w:rsidR="00674AE1" w:rsidRPr="006968F5" w:rsidRDefault="00674AE1" w:rsidP="00674AE1">
      <w:r w:rsidRPr="006968F5">
        <w:t>The following technologies are not eligible for CEC reimbursement or as part of the Applicant’s match share: </w:t>
      </w:r>
    </w:p>
    <w:p w14:paraId="0550C7F5" w14:textId="77777777" w:rsidR="00674AE1" w:rsidRPr="002B0A69" w:rsidRDefault="00674AE1" w:rsidP="00674AE1">
      <w:pPr>
        <w:pStyle w:val="ListParagraph"/>
        <w:numPr>
          <w:ilvl w:val="0"/>
          <w:numId w:val="30"/>
        </w:numPr>
        <w:tabs>
          <w:tab w:val="clear" w:pos="720"/>
          <w:tab w:val="num" w:pos="1080"/>
        </w:tabs>
        <w:ind w:left="1080"/>
        <w:contextualSpacing w:val="0"/>
        <w:rPr>
          <w:color w:val="000000" w:themeColor="text1"/>
        </w:rPr>
      </w:pPr>
      <w:r w:rsidRPr="002B0A69">
        <w:rPr>
          <w:color w:val="000000" w:themeColor="text1"/>
        </w:rPr>
        <w:t>Projects relying on occupant behavioral changes  </w:t>
      </w:r>
    </w:p>
    <w:p w14:paraId="0713ADFE" w14:textId="77777777" w:rsidR="00674AE1" w:rsidRPr="006968F5" w:rsidRDefault="00674AE1" w:rsidP="00674AE1">
      <w:pPr>
        <w:numPr>
          <w:ilvl w:val="0"/>
          <w:numId w:val="30"/>
        </w:numPr>
        <w:tabs>
          <w:tab w:val="clear" w:pos="720"/>
          <w:tab w:val="num" w:pos="1080"/>
        </w:tabs>
        <w:ind w:left="1080"/>
      </w:pPr>
      <w:r w:rsidRPr="006968F5">
        <w:t>Diesel generators regardless of fuel type (diesel, biodiesel, renewable diesel or a combination thereof)  </w:t>
      </w:r>
    </w:p>
    <w:p w14:paraId="19068E4A" w14:textId="77777777" w:rsidR="00674AE1" w:rsidRPr="006968F5" w:rsidRDefault="00674AE1" w:rsidP="00674AE1">
      <w:pPr>
        <w:numPr>
          <w:ilvl w:val="0"/>
          <w:numId w:val="31"/>
        </w:numPr>
        <w:tabs>
          <w:tab w:val="clear" w:pos="720"/>
          <w:tab w:val="num" w:pos="360"/>
        </w:tabs>
        <w:ind w:left="1080"/>
      </w:pPr>
      <w:r w:rsidRPr="006968F5">
        <w:lastRenderedPageBreak/>
        <w:t xml:space="preserve">Variable renewable resources, such as solar photovoltaic panels </w:t>
      </w:r>
      <w:r>
        <w:t xml:space="preserve">(including community solar) </w:t>
      </w:r>
      <w:r w:rsidRPr="006968F5">
        <w:t>and wind turbines </w:t>
      </w:r>
    </w:p>
    <w:p w14:paraId="2B8D7C62" w14:textId="779EB15C" w:rsidR="00674AE1" w:rsidRPr="006968F5" w:rsidRDefault="00674AE1" w:rsidP="00906AD6">
      <w:pPr>
        <w:numPr>
          <w:ilvl w:val="0"/>
          <w:numId w:val="79"/>
        </w:numPr>
      </w:pPr>
      <w:r>
        <w:t>L</w:t>
      </w:r>
      <w:r w:rsidRPr="006968F5">
        <w:t xml:space="preserve">oad-only appliances, such as: electric water heaters, pool pumps, HVAC, </w:t>
      </w:r>
      <w:r>
        <w:t>Electric Vehicles</w:t>
      </w:r>
      <w:r w:rsidRPr="006968F5">
        <w:t xml:space="preserve"> </w:t>
      </w:r>
      <w:r>
        <w:t>(</w:t>
      </w:r>
      <w:r w:rsidRPr="006968F5">
        <w:t>EV</w:t>
      </w:r>
      <w:r>
        <w:t>)</w:t>
      </w:r>
      <w:r w:rsidRPr="006968F5">
        <w:t xml:space="preserve"> or EV batteries, </w:t>
      </w:r>
      <w:r w:rsidR="0015464C">
        <w:t xml:space="preserve">unidirectional </w:t>
      </w:r>
      <w:r w:rsidR="00DD3519">
        <w:t>Electric Vehicle Supply Equipment</w:t>
      </w:r>
      <w:r w:rsidR="0015464C">
        <w:t xml:space="preserve"> </w:t>
      </w:r>
      <w:r w:rsidR="00DD3519">
        <w:t>(</w:t>
      </w:r>
      <w:r w:rsidR="0015464C">
        <w:t>EVSE</w:t>
      </w:r>
      <w:r w:rsidR="00DD3519">
        <w:t>)</w:t>
      </w:r>
      <w:r w:rsidR="0015464C">
        <w:t xml:space="preserve">, </w:t>
      </w:r>
      <w:r w:rsidRPr="006968F5">
        <w:t>etc. </w:t>
      </w:r>
    </w:p>
    <w:p w14:paraId="6DE98AB9" w14:textId="63607250" w:rsidR="00674AE1" w:rsidRPr="006968F5" w:rsidRDefault="00674AE1" w:rsidP="00906AD6">
      <w:pPr>
        <w:numPr>
          <w:ilvl w:val="0"/>
          <w:numId w:val="79"/>
        </w:numPr>
      </w:pPr>
      <w:r>
        <w:t xml:space="preserve">Distributed generation technologies that </w:t>
      </w:r>
      <w:r w:rsidRPr="00012457">
        <w:t xml:space="preserve">generate electricity by </w:t>
      </w:r>
      <w:r w:rsidR="001150A8">
        <w:t xml:space="preserve">combustion of </w:t>
      </w:r>
      <w:r w:rsidRPr="00012457">
        <w:t>chemical fuel at or near the point of use</w:t>
      </w:r>
      <w:r>
        <w:t xml:space="preserve"> </w:t>
      </w:r>
      <w:r w:rsidR="001150A8">
        <w:t xml:space="preserve">or </w:t>
      </w:r>
      <w:r>
        <w:t>are not zero-emissions</w:t>
      </w:r>
      <w:r w:rsidR="0021775F">
        <w:t xml:space="preserve"> at the installed site</w:t>
      </w:r>
    </w:p>
    <w:p w14:paraId="337BD438" w14:textId="2DB6384B" w:rsidR="00674AE1" w:rsidRDefault="00674AE1" w:rsidP="00674AE1">
      <w:pPr>
        <w:pStyle w:val="Heading4"/>
        <w:numPr>
          <w:ilvl w:val="0"/>
          <w:numId w:val="59"/>
        </w:numPr>
        <w:tabs>
          <w:tab w:val="num" w:pos="360"/>
        </w:tabs>
        <w:ind w:left="0" w:firstLine="0"/>
      </w:pPr>
      <w:bookmarkStart w:id="136" w:name="_Toc243558526"/>
      <w:r>
        <w:t>Project Specifications</w:t>
      </w:r>
      <w:bookmarkEnd w:id="136"/>
    </w:p>
    <w:p w14:paraId="3089294F" w14:textId="5693AFDC" w:rsidR="00674AE1" w:rsidRPr="00146C7F" w:rsidRDefault="00674AE1" w:rsidP="00512F39">
      <w:pPr>
        <w:pStyle w:val="Heading5"/>
        <w:numPr>
          <w:ilvl w:val="0"/>
          <w:numId w:val="68"/>
        </w:numPr>
        <w:ind w:left="1080"/>
        <w:rPr>
          <w:i/>
        </w:rPr>
      </w:pPr>
      <w:r w:rsidRPr="00146C7F">
        <w:t>Project Capacity and Duration</w:t>
      </w:r>
    </w:p>
    <w:p w14:paraId="190281AF" w14:textId="429A6D96" w:rsidR="00674AE1" w:rsidRDefault="00674AE1" w:rsidP="00674AE1">
      <w:r>
        <w:t>All applications must nominate the proposed project’s incremental capacity (i.e., nominated capacity</w:t>
      </w:r>
      <w:r w:rsidR="00984AB5" w:rsidDel="00EC6521">
        <w:t>)</w:t>
      </w:r>
      <w:r w:rsidR="00984AB5">
        <w:t xml:space="preserve"> and </w:t>
      </w:r>
      <w:r>
        <w:t xml:space="preserve">the maximum duration (in hours) the nominated capacity can be sustained (full duration) that will be committed to improving grid reliability in accordance with a proposed performance pathway (as discussed in Section II.B.5). </w:t>
      </w:r>
      <w:r w:rsidR="007626B7">
        <w:t>If the project’s resources are expected to serve multiple applications, t</w:t>
      </w:r>
      <w:r w:rsidR="00E80920">
        <w:t>he nominated capacity</w:t>
      </w:r>
      <w:r w:rsidR="009A36B5">
        <w:t xml:space="preserve"> </w:t>
      </w:r>
      <w:r w:rsidR="00274DF5">
        <w:t>should not include any</w:t>
      </w:r>
      <w:r w:rsidR="00925B09">
        <w:t xml:space="preserve"> capacity </w:t>
      </w:r>
      <w:r w:rsidR="002F7321">
        <w:t xml:space="preserve">that will be </w:t>
      </w:r>
      <w:r w:rsidR="005B2D12">
        <w:t xml:space="preserve">utilized </w:t>
      </w:r>
      <w:r w:rsidR="002F7321">
        <w:t>for</w:t>
      </w:r>
      <w:r w:rsidR="00686CDC">
        <w:t xml:space="preserve"> </w:t>
      </w:r>
      <w:r w:rsidR="00A95566">
        <w:t>a higher priority application</w:t>
      </w:r>
      <w:r w:rsidR="00F403B1">
        <w:t xml:space="preserve">, such as </w:t>
      </w:r>
      <w:r w:rsidR="003C4B91">
        <w:t>on-site backup reserves</w:t>
      </w:r>
      <w:r w:rsidR="005B2D12">
        <w:t xml:space="preserve">, that prevents that capacity from contributing to grid reliability during </w:t>
      </w:r>
      <w:r w:rsidR="009275C4">
        <w:t>P</w:t>
      </w:r>
      <w:r w:rsidR="005B2D12">
        <w:t xml:space="preserve">rogram </w:t>
      </w:r>
      <w:r w:rsidR="009275C4">
        <w:t>Hours (as defined in II.B.5.a)</w:t>
      </w:r>
      <w:r w:rsidR="003C4B91">
        <w:t>.</w:t>
      </w:r>
    </w:p>
    <w:p w14:paraId="1035E314" w14:textId="77777777" w:rsidR="00674AE1" w:rsidRDefault="00674AE1" w:rsidP="00674AE1">
      <w:r>
        <w:t>The</w:t>
      </w:r>
      <w:r w:rsidDel="00A641D8">
        <w:t xml:space="preserve"> </w:t>
      </w:r>
      <w:r>
        <w:t xml:space="preserve">nominated </w:t>
      </w:r>
      <w:r w:rsidRPr="00C22CB0">
        <w:t>capacity</w:t>
      </w:r>
      <w:r>
        <w:rPr>
          <w:rStyle w:val="FootnoteReference"/>
        </w:rPr>
        <w:footnoteReference w:id="9"/>
      </w:r>
      <w:r w:rsidRPr="00C22CB0">
        <w:t xml:space="preserve"> </w:t>
      </w:r>
      <w:r>
        <w:t xml:space="preserve">can be </w:t>
      </w:r>
      <w:r w:rsidRPr="00C22CB0">
        <w:t xml:space="preserve">in the form of supply, load shift, or load reduction </w:t>
      </w:r>
      <w:r>
        <w:t xml:space="preserve">and must be </w:t>
      </w:r>
      <w:r w:rsidRPr="00C22CB0">
        <w:t>incremental to the state’s resource adequacy (RA) supplies and existing Strategic Reliability Reserves (SRR)</w:t>
      </w:r>
      <w:r>
        <w:t xml:space="preserve">. The project must be able to sustain the power output or load shift/reduction at the nominated capacity value for a minimum of two hours. </w:t>
      </w:r>
    </w:p>
    <w:p w14:paraId="212877D0" w14:textId="297876E7" w:rsidR="002741CD" w:rsidRDefault="002741CD" w:rsidP="002741CD">
      <w:r>
        <w:t xml:space="preserve">For </w:t>
      </w:r>
      <w:r w:rsidR="006C79DF">
        <w:t xml:space="preserve">a </w:t>
      </w:r>
      <w:r>
        <w:t>project</w:t>
      </w:r>
      <w:r w:rsidR="006C79DF">
        <w:t xml:space="preserve"> where </w:t>
      </w:r>
      <w:r w:rsidR="00A84174">
        <w:t xml:space="preserve">the project’s </w:t>
      </w:r>
      <w:r w:rsidR="006C79DF">
        <w:t>capacity is weather dependent</w:t>
      </w:r>
      <w:r>
        <w:t xml:space="preserve">, </w:t>
      </w:r>
      <w:r w:rsidR="000C0D81">
        <w:t xml:space="preserve">the </w:t>
      </w:r>
      <w:r>
        <w:t xml:space="preserve">nominated </w:t>
      </w:r>
      <w:r w:rsidRPr="008B6267">
        <w:t xml:space="preserve">capacity should reflect the </w:t>
      </w:r>
      <w:r>
        <w:t xml:space="preserve">project’s </w:t>
      </w:r>
      <w:r w:rsidR="00EC5CC3">
        <w:t xml:space="preserve">weather-normalized </w:t>
      </w:r>
      <w:r w:rsidRPr="008B6267">
        <w:t>capabili</w:t>
      </w:r>
      <w:r w:rsidR="00B53308">
        <w:t>ty</w:t>
      </w:r>
      <w:r w:rsidRPr="008B6267">
        <w:t xml:space="preserve"> expected at </w:t>
      </w:r>
      <w:r>
        <w:t xml:space="preserve">an appropriately selected </w:t>
      </w:r>
      <w:r w:rsidRPr="008B6267">
        <w:t xml:space="preserve">planning temperature </w:t>
      </w:r>
      <w:proofErr w:type="spellStart"/>
      <w:r w:rsidRPr="00473C7D">
        <w:rPr>
          <w:i/>
          <w:iCs/>
        </w:rPr>
        <w:t>T</w:t>
      </w:r>
      <w:r w:rsidRPr="00CD1EC7">
        <w:rPr>
          <w:i/>
          <w:iCs/>
          <w:vertAlign w:val="subscript"/>
        </w:rPr>
        <w:t>Plan</w:t>
      </w:r>
      <w:proofErr w:type="spellEnd"/>
      <w:r w:rsidRPr="008B6267">
        <w:t xml:space="preserve"> </w:t>
      </w:r>
      <w:r w:rsidR="00371A60">
        <w:t xml:space="preserve">reasonably </w:t>
      </w:r>
      <w:r w:rsidRPr="008B6267">
        <w:t xml:space="preserve">applicable </w:t>
      </w:r>
      <w:r w:rsidR="008E1AA9">
        <w:t xml:space="preserve">during </w:t>
      </w:r>
      <w:r w:rsidR="00FC2B0F">
        <w:t>P</w:t>
      </w:r>
      <w:r w:rsidR="008E1AA9">
        <w:t xml:space="preserve">rogram </w:t>
      </w:r>
      <w:r w:rsidR="00FC2B0F">
        <w:t>H</w:t>
      </w:r>
      <w:r w:rsidR="008E1AA9">
        <w:t xml:space="preserve">ours </w:t>
      </w:r>
      <w:r w:rsidR="00C95401">
        <w:t xml:space="preserve">(as defined in II.B.5.a) </w:t>
      </w:r>
      <w:r>
        <w:t>at the project’s location.</w:t>
      </w:r>
      <w:r w:rsidR="00614EF8">
        <w:t xml:space="preserve"> The </w:t>
      </w:r>
      <w:r w:rsidR="000D0244">
        <w:t>Measurement</w:t>
      </w:r>
      <w:r w:rsidR="00457915">
        <w:t xml:space="preserve"> </w:t>
      </w:r>
      <w:r w:rsidR="00235BE4">
        <w:t>and</w:t>
      </w:r>
      <w:r w:rsidR="00457915">
        <w:t xml:space="preserve"> Verification Plan</w:t>
      </w:r>
      <w:r w:rsidR="00737E13">
        <w:t xml:space="preserve"> </w:t>
      </w:r>
      <w:r w:rsidR="009A3B36">
        <w:t>must</w:t>
      </w:r>
      <w:r w:rsidR="00737E13">
        <w:t xml:space="preserve"> include details on how </w:t>
      </w:r>
      <w:proofErr w:type="spellStart"/>
      <w:r w:rsidR="00737E13" w:rsidRPr="00473C7D">
        <w:rPr>
          <w:i/>
          <w:iCs/>
        </w:rPr>
        <w:t>T</w:t>
      </w:r>
      <w:r w:rsidR="00737E13" w:rsidRPr="00CD1EC7">
        <w:rPr>
          <w:i/>
          <w:iCs/>
          <w:vertAlign w:val="subscript"/>
        </w:rPr>
        <w:t>Plan</w:t>
      </w:r>
      <w:proofErr w:type="spellEnd"/>
      <w:r w:rsidR="00737E13">
        <w:rPr>
          <w:i/>
          <w:iCs/>
          <w:vertAlign w:val="subscript"/>
        </w:rPr>
        <w:t xml:space="preserve"> </w:t>
      </w:r>
      <w:r w:rsidR="00737E13">
        <w:t xml:space="preserve">was </w:t>
      </w:r>
      <w:r w:rsidR="008F25A3">
        <w:t>determined</w:t>
      </w:r>
      <w:r w:rsidR="00371A60">
        <w:t>,</w:t>
      </w:r>
      <w:r w:rsidR="008F25A3">
        <w:t xml:space="preserve"> </w:t>
      </w:r>
      <w:r w:rsidR="00ED6F3D">
        <w:t xml:space="preserve">a description of a </w:t>
      </w:r>
      <w:r w:rsidR="00CD09E0">
        <w:t xml:space="preserve">temperature-dependent capacity-scaling </w:t>
      </w:r>
      <w:r w:rsidR="00ED6F3D">
        <w:t xml:space="preserve">formula for determining the project capacity </w:t>
      </w:r>
      <w:r w:rsidR="00EF215E">
        <w:t xml:space="preserve">expected at a different temperature in hour </w:t>
      </w:r>
      <w:r w:rsidR="008E0ED6" w:rsidRPr="00A87261">
        <w:rPr>
          <w:i/>
          <w:iCs/>
        </w:rPr>
        <w:t>h</w:t>
      </w:r>
      <w:r w:rsidR="00EF215E">
        <w:t xml:space="preserve"> </w:t>
      </w:r>
      <w:r w:rsidR="008E0ED6">
        <w:t>(</w:t>
      </w:r>
      <w:r w:rsidR="008E0ED6" w:rsidRPr="00473C7D">
        <w:rPr>
          <w:i/>
          <w:iCs/>
        </w:rPr>
        <w:t>T</w:t>
      </w:r>
      <w:r w:rsidR="008E0ED6" w:rsidRPr="00473C7D">
        <w:rPr>
          <w:i/>
          <w:iCs/>
          <w:vertAlign w:val="subscript"/>
        </w:rPr>
        <w:t>h</w:t>
      </w:r>
      <w:r w:rsidR="008E0ED6">
        <w:t xml:space="preserve">) </w:t>
      </w:r>
      <w:r w:rsidR="00EF215E">
        <w:t>as a function of (</w:t>
      </w:r>
      <w:proofErr w:type="spellStart"/>
      <w:r w:rsidR="00EF215E" w:rsidRPr="00473C7D">
        <w:rPr>
          <w:i/>
          <w:iCs/>
        </w:rPr>
        <w:t>T</w:t>
      </w:r>
      <w:r w:rsidR="00EF215E" w:rsidRPr="00CD1EC7">
        <w:rPr>
          <w:i/>
          <w:iCs/>
          <w:vertAlign w:val="subscript"/>
        </w:rPr>
        <w:t>Plan</w:t>
      </w:r>
      <w:proofErr w:type="spellEnd"/>
      <w:r w:rsidR="00EF215E">
        <w:rPr>
          <w:i/>
          <w:iCs/>
          <w:vertAlign w:val="subscript"/>
        </w:rPr>
        <w:t xml:space="preserve"> </w:t>
      </w:r>
      <w:r w:rsidR="008E0ED6">
        <w:t xml:space="preserve">- </w:t>
      </w:r>
      <w:r w:rsidR="008E0ED6" w:rsidRPr="00A87261">
        <w:rPr>
          <w:i/>
          <w:iCs/>
        </w:rPr>
        <w:t>T</w:t>
      </w:r>
      <w:r w:rsidR="008E0ED6" w:rsidRPr="00A87261">
        <w:rPr>
          <w:i/>
          <w:iCs/>
          <w:vertAlign w:val="subscript"/>
        </w:rPr>
        <w:t>h</w:t>
      </w:r>
      <w:r w:rsidR="008E0ED6">
        <w:t xml:space="preserve">) and the nominated capacity at </w:t>
      </w:r>
      <w:proofErr w:type="spellStart"/>
      <w:r w:rsidR="00ED6F3D" w:rsidRPr="00473C7D">
        <w:rPr>
          <w:i/>
          <w:iCs/>
        </w:rPr>
        <w:t>T</w:t>
      </w:r>
      <w:r w:rsidR="00ED6F3D" w:rsidRPr="00CD1EC7">
        <w:rPr>
          <w:i/>
          <w:iCs/>
          <w:vertAlign w:val="subscript"/>
        </w:rPr>
        <w:t>Plan</w:t>
      </w:r>
      <w:proofErr w:type="spellEnd"/>
      <w:r w:rsidR="0072483E">
        <w:t>, and a rationale and data to support the reasonableness of this formula</w:t>
      </w:r>
      <w:r w:rsidR="000E4897">
        <w:t xml:space="preserve"> as a reasonably accurate predictor of temperature-based </w:t>
      </w:r>
      <w:r w:rsidR="00DD30F4">
        <w:t xml:space="preserve">project </w:t>
      </w:r>
      <w:r w:rsidR="000E4897">
        <w:t>capacity</w:t>
      </w:r>
      <w:r w:rsidR="0072483E">
        <w:t>.</w:t>
      </w:r>
      <w:r w:rsidR="00CF71AD">
        <w:t xml:space="preserve"> </w:t>
      </w:r>
    </w:p>
    <w:p w14:paraId="7E553B32" w14:textId="4A9E3F79" w:rsidR="00674AE1" w:rsidRDefault="00FA4753" w:rsidP="00674AE1">
      <w:r>
        <w:t xml:space="preserve">Projects </w:t>
      </w:r>
      <w:r w:rsidR="00674AE1">
        <w:t xml:space="preserve">will be assessed </w:t>
      </w:r>
      <w:proofErr w:type="gramStart"/>
      <w:r w:rsidR="00674AE1">
        <w:t>on the basis of</w:t>
      </w:r>
      <w:proofErr w:type="gramEnd"/>
      <w:r w:rsidR="00674AE1">
        <w:t xml:space="preserve"> “rated” capacity to evaluate proposed projects with varying durations of nominated capacity. </w:t>
      </w:r>
      <w:r w:rsidR="00674AE1" w:rsidRPr="00221D90">
        <w:t xml:space="preserve">The rated capacity </w:t>
      </w:r>
      <w:r w:rsidR="00674AE1" w:rsidRPr="006C5A04">
        <w:t xml:space="preserve">of the </w:t>
      </w:r>
      <w:r w:rsidR="00674AE1">
        <w:t>project</w:t>
      </w:r>
      <w:r w:rsidR="00674AE1" w:rsidRPr="006C5A04">
        <w:t xml:space="preserve"> is the average power output or load </w:t>
      </w:r>
      <w:r w:rsidR="00674AE1">
        <w:t>shift/</w:t>
      </w:r>
      <w:r w:rsidR="00674AE1" w:rsidRPr="006C5A04">
        <w:t xml:space="preserve">reduction level that can be sustained over a 4-hour </w:t>
      </w:r>
      <w:r w:rsidR="00674AE1" w:rsidRPr="006C5A04">
        <w:lastRenderedPageBreak/>
        <w:t xml:space="preserve">period. </w:t>
      </w:r>
      <w:r w:rsidR="00674AE1">
        <w:t>A project</w:t>
      </w:r>
      <w:r w:rsidR="00674AE1" w:rsidRPr="006C5A04">
        <w:t xml:space="preserve"> </w:t>
      </w:r>
      <w:r w:rsidR="00674AE1">
        <w:t xml:space="preserve">with a nominated capacity that can be maintained for a duration of less than 4 hours will be normalized to the rated capacity for the purpose of evaluation. </w:t>
      </w:r>
      <w:r w:rsidR="00674AE1" w:rsidRPr="00221D90">
        <w:t xml:space="preserve">For a </w:t>
      </w:r>
      <w:r w:rsidR="00674AE1">
        <w:t xml:space="preserve">project </w:t>
      </w:r>
      <w:r w:rsidR="00674AE1" w:rsidRPr="00221D90">
        <w:t>with a nomina</w:t>
      </w:r>
      <w:r w:rsidR="00674AE1">
        <w:t>ted</w:t>
      </w:r>
      <w:r w:rsidR="00674AE1" w:rsidRPr="00221D90">
        <w:t xml:space="preserve"> capacity level that can be maintained for 4 or more hours, the nomina</w:t>
      </w:r>
      <w:r w:rsidR="00674AE1">
        <w:t>ted</w:t>
      </w:r>
      <w:r w:rsidR="00674AE1" w:rsidRPr="00221D90">
        <w:t xml:space="preserve"> and rated capacity will be considered equal.</w:t>
      </w:r>
      <w:r w:rsidR="00674AE1">
        <w:rPr>
          <w:b/>
          <w:bCs/>
        </w:rPr>
        <w:t xml:space="preserve"> </w:t>
      </w:r>
      <w:r w:rsidR="00674AE1">
        <w:t>For</w:t>
      </w:r>
      <w:r w:rsidR="00674AE1" w:rsidRPr="00221D90">
        <w:t xml:space="preserve"> example, </w:t>
      </w:r>
      <w:r w:rsidR="00674AE1">
        <w:t>a storage project</w:t>
      </w:r>
      <w:r w:rsidR="00674AE1" w:rsidRPr="00221D90">
        <w:t xml:space="preserve"> with 20 MW nomina</w:t>
      </w:r>
      <w:r w:rsidR="00674AE1">
        <w:t>ted</w:t>
      </w:r>
      <w:r w:rsidR="00674AE1" w:rsidRPr="00221D90">
        <w:t xml:space="preserve"> </w:t>
      </w:r>
      <w:r w:rsidR="00674AE1">
        <w:t xml:space="preserve">power </w:t>
      </w:r>
      <w:r w:rsidR="00674AE1" w:rsidRPr="00221D90">
        <w:t>capacity and storage capacity of 40 megawatt-hour</w:t>
      </w:r>
      <w:r w:rsidR="00674AE1">
        <w:t>s</w:t>
      </w:r>
      <w:r w:rsidR="00674AE1" w:rsidRPr="00221D90">
        <w:t xml:space="preserve"> (MWh) and designed to </w:t>
      </w:r>
      <w:r w:rsidR="00674AE1">
        <w:t>discharge continuously at the nominated power</w:t>
      </w:r>
      <w:r w:rsidR="00674AE1" w:rsidRPr="00221D90">
        <w:t xml:space="preserve"> </w:t>
      </w:r>
      <w:r w:rsidR="00674AE1">
        <w:t xml:space="preserve">level </w:t>
      </w:r>
      <w:r w:rsidR="00674AE1" w:rsidRPr="00221D90">
        <w:t xml:space="preserve">for </w:t>
      </w:r>
      <w:r w:rsidR="00674AE1">
        <w:t>two</w:t>
      </w:r>
      <w:r w:rsidR="00674AE1" w:rsidRPr="00221D90">
        <w:t xml:space="preserve"> hours would be normalized to a rated capacity of 10 MW. </w:t>
      </w:r>
    </w:p>
    <w:p w14:paraId="15D0E8F8" w14:textId="2C64570B" w:rsidR="00C7515A" w:rsidRDefault="007B5664" w:rsidP="00674AE1">
      <w:pPr>
        <w:rPr>
          <w:bCs/>
        </w:rPr>
      </w:pPr>
      <w:r>
        <w:rPr>
          <w:bCs/>
        </w:rPr>
        <w:t>A</w:t>
      </w:r>
      <w:r w:rsidR="00F2294E">
        <w:rPr>
          <w:bCs/>
        </w:rPr>
        <w:t xml:space="preserve">pplications that propose upgrading </w:t>
      </w:r>
      <w:r w:rsidR="00693707">
        <w:rPr>
          <w:bCs/>
        </w:rPr>
        <w:t xml:space="preserve">or replacing </w:t>
      </w:r>
      <w:r w:rsidR="00F2294E">
        <w:rPr>
          <w:bCs/>
        </w:rPr>
        <w:t xml:space="preserve">an existing </w:t>
      </w:r>
      <w:r w:rsidR="00693707">
        <w:rPr>
          <w:bCs/>
        </w:rPr>
        <w:t>DER</w:t>
      </w:r>
      <w:r w:rsidR="00E74BB4">
        <w:rPr>
          <w:bCs/>
        </w:rPr>
        <w:t xml:space="preserve"> (including microgrids)</w:t>
      </w:r>
      <w:r w:rsidR="00F2294E">
        <w:rPr>
          <w:bCs/>
        </w:rPr>
        <w:t xml:space="preserve"> </w:t>
      </w:r>
      <w:r w:rsidR="00E6371C">
        <w:rPr>
          <w:bCs/>
        </w:rPr>
        <w:t>must</w:t>
      </w:r>
      <w:r w:rsidR="00B7271D">
        <w:rPr>
          <w:bCs/>
        </w:rPr>
        <w:t xml:space="preserve"> </w:t>
      </w:r>
      <w:r w:rsidR="00287CCA">
        <w:rPr>
          <w:bCs/>
        </w:rPr>
        <w:t>include</w:t>
      </w:r>
      <w:r w:rsidR="0018257E">
        <w:rPr>
          <w:bCs/>
        </w:rPr>
        <w:t xml:space="preserve"> the following</w:t>
      </w:r>
      <w:r w:rsidR="00C7515A">
        <w:rPr>
          <w:bCs/>
        </w:rPr>
        <w:t>:</w:t>
      </w:r>
    </w:p>
    <w:p w14:paraId="59B29B80" w14:textId="5E0587C0" w:rsidR="0048284D" w:rsidRPr="008C4390" w:rsidRDefault="00176D60" w:rsidP="0018257E">
      <w:pPr>
        <w:pStyle w:val="ListParagraph"/>
        <w:numPr>
          <w:ilvl w:val="0"/>
          <w:numId w:val="91"/>
        </w:numPr>
      </w:pPr>
      <w:r>
        <w:t xml:space="preserve">Metered </w:t>
      </w:r>
      <w:r w:rsidR="003E2377">
        <w:t xml:space="preserve">baseline data </w:t>
      </w:r>
      <w:r w:rsidR="00B64656">
        <w:t xml:space="preserve">showing the capacity capability of the </w:t>
      </w:r>
      <w:r w:rsidR="00E74BB4">
        <w:t>existing DER(s)</w:t>
      </w:r>
      <w:r w:rsidR="00B64656">
        <w:t xml:space="preserve"> </w:t>
      </w:r>
      <w:r w:rsidR="003E2377">
        <w:t xml:space="preserve">that </w:t>
      </w:r>
      <w:r w:rsidR="006A7F86">
        <w:t xml:space="preserve">can be used as a reference </w:t>
      </w:r>
      <w:r w:rsidR="00375861">
        <w:t xml:space="preserve">to measure and verify the </w:t>
      </w:r>
      <w:r w:rsidR="00AF65DA">
        <w:t xml:space="preserve">incremental </w:t>
      </w:r>
      <w:r w:rsidR="00516883">
        <w:t>capacity</w:t>
      </w:r>
      <w:r w:rsidR="00375861">
        <w:t xml:space="preserve"> </w:t>
      </w:r>
      <w:r w:rsidR="00AF65DA">
        <w:t xml:space="preserve">added </w:t>
      </w:r>
      <w:r w:rsidR="00FE7B8B">
        <w:t xml:space="preserve">by the proposed project </w:t>
      </w:r>
      <w:r w:rsidR="00AF65DA">
        <w:t>at the host site</w:t>
      </w:r>
      <w:r w:rsidR="007B0160">
        <w:t>.</w:t>
      </w:r>
    </w:p>
    <w:p w14:paraId="01D09F93" w14:textId="3385709F" w:rsidR="004F4430" w:rsidRPr="00C7515A" w:rsidRDefault="00964D0C" w:rsidP="0018257E">
      <w:pPr>
        <w:pStyle w:val="ListParagraph"/>
        <w:numPr>
          <w:ilvl w:val="0"/>
          <w:numId w:val="91"/>
        </w:numPr>
        <w:rPr>
          <w:bCs/>
        </w:rPr>
      </w:pPr>
      <w:r>
        <w:rPr>
          <w:bCs/>
        </w:rPr>
        <w:t>Explanation of</w:t>
      </w:r>
      <w:r w:rsidR="004F4430">
        <w:rPr>
          <w:bCs/>
        </w:rPr>
        <w:t xml:space="preserve"> the project budget and accounting methodology to ensure that the CEC reimbursements are provided only for the costs associated with the </w:t>
      </w:r>
      <w:r w:rsidR="00E14C8B">
        <w:rPr>
          <w:bCs/>
        </w:rPr>
        <w:t>proposed project’s added incremental capacity</w:t>
      </w:r>
      <w:r w:rsidR="004F4430">
        <w:rPr>
          <w:bCs/>
        </w:rPr>
        <w:t>.</w:t>
      </w:r>
    </w:p>
    <w:p w14:paraId="26CCF190" w14:textId="77777777" w:rsidR="00674AE1" w:rsidRPr="006D5A78" w:rsidRDefault="00674AE1" w:rsidP="00704B30">
      <w:pPr>
        <w:pStyle w:val="Heading5"/>
        <w:numPr>
          <w:ilvl w:val="0"/>
          <w:numId w:val="68"/>
        </w:numPr>
        <w:ind w:left="1080"/>
      </w:pPr>
      <w:r w:rsidRPr="00146C7F">
        <w:t>Project Life</w:t>
      </w:r>
    </w:p>
    <w:p w14:paraId="0002180C" w14:textId="77777777" w:rsidR="00891D3F" w:rsidRDefault="00674AE1" w:rsidP="00891D3F">
      <w:pPr>
        <w:rPr>
          <w:rFonts w:eastAsia="Tahoma" w:cs="Tahoma"/>
        </w:rPr>
      </w:pPr>
      <w:r>
        <w:t>The application must also indicate the project’s expected life (lifespan in number of years) and explain whether the project’s committed capacity will 1) be sustained for the full duration over the lifespan, or 2) decline over time. In the former case, the a</w:t>
      </w:r>
      <w:r w:rsidRPr="004A4BB6">
        <w:rPr>
          <w:rFonts w:eastAsia="Tahoma" w:cs="Tahoma"/>
        </w:rPr>
        <w:t xml:space="preserve">pplication should describe any measures or design features used to ensure that the committed capacity/duration can be sustained over the project’s lifespan (for example, installed battery oversized relative to committed capacity, planned replacement of battery modules, etc.); in the latter case, </w:t>
      </w:r>
      <w:r>
        <w:t>the application should indicate the expected average annual degradation rate.</w:t>
      </w:r>
      <w:r w:rsidRPr="004A4BB6">
        <w:rPr>
          <w:rFonts w:eastAsia="Tahoma" w:cs="Tahoma"/>
        </w:rPr>
        <w:t xml:space="preserve"> Applications should describe product warrant</w:t>
      </w:r>
      <w:r>
        <w:rPr>
          <w:rFonts w:eastAsia="Tahoma" w:cs="Tahoma"/>
        </w:rPr>
        <w:t>i</w:t>
      </w:r>
      <w:r w:rsidRPr="004A4BB6">
        <w:rPr>
          <w:rFonts w:eastAsia="Tahoma" w:cs="Tahoma"/>
        </w:rPr>
        <w:t>es, as applicable, to support the proposed project’s lifespan and capacity/duration commitments.</w:t>
      </w:r>
      <w:r w:rsidRPr="66DD8F63">
        <w:rPr>
          <w:rFonts w:eastAsia="Tahoma" w:cs="Tahoma"/>
        </w:rPr>
        <w:t xml:space="preserve"> </w:t>
      </w:r>
    </w:p>
    <w:p w14:paraId="651143AE" w14:textId="67555FE7" w:rsidR="00674AE1" w:rsidRDefault="00674AE1" w:rsidP="00641DEB">
      <w:pPr>
        <w:pStyle w:val="Heading4"/>
        <w:numPr>
          <w:ilvl w:val="0"/>
          <w:numId w:val="59"/>
        </w:numPr>
        <w:tabs>
          <w:tab w:val="num" w:pos="360"/>
        </w:tabs>
        <w:ind w:left="0" w:firstLine="0"/>
      </w:pPr>
      <w:bookmarkStart w:id="137" w:name="_Toc243558527"/>
      <w:r>
        <w:t>Performance Requirements</w:t>
      </w:r>
      <w:bookmarkEnd w:id="137"/>
    </w:p>
    <w:p w14:paraId="44434E25" w14:textId="0AF8B625" w:rsidR="00674AE1" w:rsidRPr="00D001C0" w:rsidRDefault="67C1841A" w:rsidP="006074A6">
      <w:pPr>
        <w:spacing w:before="240"/>
        <w:rPr>
          <w:rFonts w:cs="Times New Roman"/>
        </w:rPr>
      </w:pPr>
      <w:r>
        <w:t xml:space="preserve">Applications must select one of the four performance pathways described </w:t>
      </w:r>
      <w:r w:rsidR="6E6D59C9">
        <w:t xml:space="preserve">briefly </w:t>
      </w:r>
      <w:r>
        <w:t>below</w:t>
      </w:r>
      <w:r w:rsidR="6E6D59C9">
        <w:t xml:space="preserve"> </w:t>
      </w:r>
      <w:r w:rsidR="204BC01D">
        <w:t>(</w:t>
      </w:r>
      <w:r w:rsidR="6E6D59C9">
        <w:t xml:space="preserve">and in more detail in </w:t>
      </w:r>
      <w:r w:rsidR="4B5B5D14">
        <w:t>Section II.B.5.d</w:t>
      </w:r>
      <w:r w:rsidR="204BC01D">
        <w:t>)</w:t>
      </w:r>
      <w:r w:rsidR="6F448B9E">
        <w:t xml:space="preserve">. </w:t>
      </w:r>
      <w:r w:rsidR="7AEA0BFC">
        <w:t>The project operator must operate the p</w:t>
      </w:r>
      <w:r w:rsidR="547FEEC0">
        <w:t xml:space="preserve">roject </w:t>
      </w:r>
      <w:r w:rsidR="093E495D">
        <w:t xml:space="preserve">in accordance </w:t>
      </w:r>
      <w:r w:rsidR="547FEEC0">
        <w:t>with the selected performance pathway</w:t>
      </w:r>
      <w:r w:rsidR="00EA23C1">
        <w:t xml:space="preserve">, strive to maximize benefits to the host site via bill savings/credits </w:t>
      </w:r>
      <w:r w:rsidR="00A90341">
        <w:t>and/</w:t>
      </w:r>
      <w:r w:rsidR="00EA23C1">
        <w:t>or earning compensation for providing grid services</w:t>
      </w:r>
      <w:r w:rsidR="00A90341">
        <w:t>,</w:t>
      </w:r>
      <w:r w:rsidR="547FEEC0">
        <w:t xml:space="preserve"> and </w:t>
      </w:r>
      <w:r w:rsidR="57768E9D">
        <w:t xml:space="preserve">meet the </w:t>
      </w:r>
      <w:r w:rsidR="547FEEC0">
        <w:t>dispatch requirements (described below</w:t>
      </w:r>
      <w:r w:rsidR="4CF08C0B">
        <w:t xml:space="preserve"> in Section </w:t>
      </w:r>
      <w:r w:rsidR="483D8C42">
        <w:t>II.B.5.a</w:t>
      </w:r>
      <w:r w:rsidR="547FEEC0">
        <w:t xml:space="preserve">) for a term of three program seasons (May 1 through October 31). </w:t>
      </w:r>
      <w:r w:rsidR="00674AE1" w:rsidRPr="00B67C09">
        <w:t>Project resources responding to the same aggregate pricing node signal</w:t>
      </w:r>
      <w:r w:rsidR="00AB637E">
        <w:t xml:space="preserve"> </w:t>
      </w:r>
      <w:r w:rsidR="00670CA2">
        <w:t xml:space="preserve">in </w:t>
      </w:r>
      <w:r w:rsidR="00282639">
        <w:t>the</w:t>
      </w:r>
      <w:r w:rsidR="00670CA2">
        <w:t xml:space="preserve"> California ISO area </w:t>
      </w:r>
      <w:r w:rsidR="00AB637E">
        <w:t xml:space="preserve">(or </w:t>
      </w:r>
      <w:r w:rsidR="005F6553">
        <w:t>non</w:t>
      </w:r>
      <w:r w:rsidR="00F82592">
        <w:t>-California ISO market event signal)</w:t>
      </w:r>
      <w:r w:rsidR="00674AE1" w:rsidRPr="00B67C09">
        <w:t xml:space="preserve"> and that have the same </w:t>
      </w:r>
      <w:r w:rsidR="00DF22BF">
        <w:t xml:space="preserve">full </w:t>
      </w:r>
      <w:r w:rsidR="00674AE1" w:rsidRPr="00B67C09">
        <w:t>duration can be considered part of a distinct aggregation. A project may comprise multiple aggregations.</w:t>
      </w:r>
    </w:p>
    <w:p w14:paraId="6519ABFE" w14:textId="77777777" w:rsidR="00674AE1" w:rsidRDefault="00674AE1" w:rsidP="00674AE1">
      <w:r>
        <w:t>The available performance pathways are:</w:t>
      </w:r>
    </w:p>
    <w:p w14:paraId="24E82536" w14:textId="77777777" w:rsidR="00674AE1" w:rsidRPr="00E41F96" w:rsidRDefault="00674AE1" w:rsidP="00674AE1">
      <w:pPr>
        <w:ind w:left="720"/>
      </w:pPr>
      <w:r>
        <w:rPr>
          <w:b/>
        </w:rPr>
        <w:t xml:space="preserve">Pathway 1: </w:t>
      </w:r>
      <w:r w:rsidRPr="006C0ACF">
        <w:rPr>
          <w:b/>
        </w:rPr>
        <w:t xml:space="preserve">Market-Integrated: </w:t>
      </w:r>
      <w:r w:rsidRPr="00E41F96">
        <w:t xml:space="preserve">Dispatch in response to the applicable California Balancing Authority (BA) market instructions. </w:t>
      </w:r>
    </w:p>
    <w:p w14:paraId="78E85EB5" w14:textId="6D5B728E" w:rsidR="00674AE1" w:rsidRPr="00E41F96" w:rsidRDefault="00674AE1" w:rsidP="00674AE1">
      <w:pPr>
        <w:ind w:left="720"/>
      </w:pPr>
      <w:r>
        <w:rPr>
          <w:b/>
        </w:rPr>
        <w:lastRenderedPageBreak/>
        <w:t xml:space="preserve">Pathway 2: </w:t>
      </w:r>
      <w:r w:rsidRPr="006C0ACF">
        <w:rPr>
          <w:b/>
        </w:rPr>
        <w:t>Market-Aware:</w:t>
      </w:r>
      <w:r w:rsidRPr="00E41F96">
        <w:t xml:space="preserve"> Dispatch in response to </w:t>
      </w:r>
      <w:r>
        <w:t>the</w:t>
      </w:r>
      <w:r w:rsidRPr="00E41F96">
        <w:t xml:space="preserve"> </w:t>
      </w:r>
      <w:r>
        <w:t>applicable BA’s market event</w:t>
      </w:r>
      <w:r w:rsidR="00ED0D63">
        <w:t>s</w:t>
      </w:r>
      <w:r>
        <w:t xml:space="preserve"> (as defined below).</w:t>
      </w:r>
    </w:p>
    <w:p w14:paraId="05863AA5" w14:textId="77777777" w:rsidR="00674AE1" w:rsidRPr="00E41F96" w:rsidRDefault="00674AE1" w:rsidP="00674AE1">
      <w:pPr>
        <w:ind w:left="720"/>
      </w:pPr>
      <w:r>
        <w:rPr>
          <w:b/>
        </w:rPr>
        <w:t xml:space="preserve">Pathway 3: </w:t>
      </w:r>
      <w:r w:rsidRPr="006C0ACF">
        <w:rPr>
          <w:b/>
        </w:rPr>
        <w:t>Hourly Dynamic Rate:</w:t>
      </w:r>
      <w:r w:rsidRPr="00E41F96">
        <w:t xml:space="preserve"> Dispatch in response to an hourly dynamic </w:t>
      </w:r>
      <w:r>
        <w:t>retail rate</w:t>
      </w:r>
      <w:r w:rsidRPr="00E41F96">
        <w:t xml:space="preserve"> tariff</w:t>
      </w:r>
      <w:r>
        <w:t xml:space="preserve"> (as described below)</w:t>
      </w:r>
      <w:r w:rsidRPr="00E41F96">
        <w:t>.</w:t>
      </w:r>
    </w:p>
    <w:p w14:paraId="21DF95B6" w14:textId="44E7CF96" w:rsidR="008D14CD" w:rsidRPr="00E07665" w:rsidRDefault="00674AE1" w:rsidP="00674AE1">
      <w:pPr>
        <w:ind w:left="720"/>
      </w:pPr>
      <w:r>
        <w:rPr>
          <w:b/>
        </w:rPr>
        <w:t xml:space="preserve">Pathway 4: </w:t>
      </w:r>
      <w:r w:rsidRPr="006C0ACF">
        <w:rPr>
          <w:b/>
        </w:rPr>
        <w:t>Daily Dispatch:</w:t>
      </w:r>
      <w:r w:rsidRPr="00E41F96">
        <w:t xml:space="preserve"> Dispatch daily in designated hours</w:t>
      </w:r>
      <w:r>
        <w:t>.</w:t>
      </w:r>
      <w:r w:rsidRPr="00E07665">
        <w:t xml:space="preserve"> </w:t>
      </w:r>
    </w:p>
    <w:p w14:paraId="0B5FB2C5" w14:textId="7B3BF063" w:rsidR="00674AE1" w:rsidRDefault="00674AE1" w:rsidP="00674AE1">
      <w:r>
        <w:t>Across all performance pathways, dispatch may refer to power output (for example, through generation or discharge) or load reduction/shift, consistent with the characteristics of the site DER resource or resources. Power output may be consumed on-site, exported to the distribution grid, or a combination of both.</w:t>
      </w:r>
    </w:p>
    <w:p w14:paraId="7159F5FF" w14:textId="77777777" w:rsidR="00674AE1" w:rsidRDefault="00674AE1" w:rsidP="00674AE1">
      <w:r>
        <w:t xml:space="preserve">In some cases, depending on the type of project (in terms of the project location relative to the utility meter and technology type), a specific pathway may be open to the project but closed to others. See Table 4 “Available Performance Pathways vs. Project Type” (for description of Project Type technologies, refer to Section II.B.2). </w:t>
      </w:r>
    </w:p>
    <w:p w14:paraId="233F2DF3" w14:textId="77777777" w:rsidR="00674AE1" w:rsidRPr="00935502" w:rsidRDefault="00674AE1" w:rsidP="00674AE1">
      <w:pPr>
        <w:pStyle w:val="TableTitle"/>
      </w:pPr>
      <w:bookmarkStart w:id="138" w:name="_Toc243558588"/>
      <w:r w:rsidRPr="00935502">
        <w:t xml:space="preserve">Table </w:t>
      </w:r>
      <w:r>
        <w:t>4</w:t>
      </w:r>
      <w:r w:rsidRPr="00935502">
        <w:t xml:space="preserve">. </w:t>
      </w:r>
      <w:r>
        <w:t xml:space="preserve">Available </w:t>
      </w:r>
      <w:r w:rsidRPr="00935502">
        <w:t xml:space="preserve">Performance Pathways </w:t>
      </w:r>
      <w:r>
        <w:t>vs. Project Type</w:t>
      </w:r>
      <w:bookmarkEnd w:id="138"/>
    </w:p>
    <w:tbl>
      <w:tblPr>
        <w:tblStyle w:val="TableGrid"/>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vailable Performance Pathways vs. Project Type"/>
        <w:tblDescription w:val="Table showing the performance pathways underwhich each project type may be eligible to perform."/>
      </w:tblPr>
      <w:tblGrid>
        <w:gridCol w:w="2223"/>
        <w:gridCol w:w="1685"/>
        <w:gridCol w:w="1606"/>
        <w:gridCol w:w="1613"/>
        <w:gridCol w:w="1603"/>
      </w:tblGrid>
      <w:tr w:rsidR="00674AE1" w:rsidRPr="0004014E" w14:paraId="22C45AD6" w14:textId="77777777" w:rsidTr="000C4AB7">
        <w:trPr>
          <w:cantSplit/>
          <w:tblHeader/>
          <w:jc w:val="center"/>
        </w:trPr>
        <w:tc>
          <w:tcPr>
            <w:tcW w:w="2223" w:type="dxa"/>
            <w:vAlign w:val="center"/>
          </w:tcPr>
          <w:p w14:paraId="49D295EC" w14:textId="77777777" w:rsidR="00674AE1" w:rsidRPr="0004014E" w:rsidRDefault="00674AE1">
            <w:pPr>
              <w:jc w:val="center"/>
              <w:rPr>
                <w:sz w:val="24"/>
                <w:szCs w:val="24"/>
              </w:rPr>
            </w:pPr>
          </w:p>
        </w:tc>
        <w:tc>
          <w:tcPr>
            <w:tcW w:w="1685" w:type="dxa"/>
            <w:vAlign w:val="center"/>
          </w:tcPr>
          <w:p w14:paraId="2ECE65FD" w14:textId="77777777" w:rsidR="00674AE1" w:rsidRPr="0004014E" w:rsidRDefault="00674AE1">
            <w:pPr>
              <w:jc w:val="center"/>
              <w:rPr>
                <w:sz w:val="24"/>
                <w:szCs w:val="24"/>
              </w:rPr>
            </w:pPr>
            <w:r w:rsidRPr="0004014E">
              <w:rPr>
                <w:sz w:val="24"/>
                <w:szCs w:val="24"/>
              </w:rPr>
              <w:t>Front-of-the-Meter Eligible Technologies</w:t>
            </w:r>
          </w:p>
        </w:tc>
        <w:tc>
          <w:tcPr>
            <w:tcW w:w="1606" w:type="dxa"/>
            <w:vAlign w:val="center"/>
          </w:tcPr>
          <w:p w14:paraId="3F2B59ED" w14:textId="77777777" w:rsidR="00674AE1" w:rsidRPr="0004014E" w:rsidRDefault="00674AE1">
            <w:pPr>
              <w:jc w:val="center"/>
              <w:rPr>
                <w:sz w:val="24"/>
                <w:szCs w:val="24"/>
              </w:rPr>
            </w:pPr>
            <w:r w:rsidRPr="0004014E">
              <w:rPr>
                <w:sz w:val="24"/>
                <w:szCs w:val="24"/>
              </w:rPr>
              <w:t>Behind-the-Meter Storage</w:t>
            </w:r>
            <w:r w:rsidRPr="0004014E">
              <w:rPr>
                <w:rStyle w:val="FootnoteReference"/>
                <w:sz w:val="24"/>
                <w:szCs w:val="24"/>
              </w:rPr>
              <w:footnoteReference w:id="10"/>
            </w:r>
          </w:p>
        </w:tc>
        <w:tc>
          <w:tcPr>
            <w:tcW w:w="1613" w:type="dxa"/>
            <w:vAlign w:val="center"/>
          </w:tcPr>
          <w:p w14:paraId="7D25A9B8" w14:textId="77777777" w:rsidR="00674AE1" w:rsidRPr="0004014E" w:rsidRDefault="00674AE1">
            <w:pPr>
              <w:jc w:val="center"/>
              <w:rPr>
                <w:sz w:val="24"/>
                <w:szCs w:val="24"/>
              </w:rPr>
            </w:pPr>
            <w:r w:rsidRPr="0004014E">
              <w:rPr>
                <w:sz w:val="24"/>
                <w:szCs w:val="24"/>
              </w:rPr>
              <w:t>Behind-the-Meter Distributed Generation</w:t>
            </w:r>
          </w:p>
        </w:tc>
        <w:tc>
          <w:tcPr>
            <w:tcW w:w="1603" w:type="dxa"/>
            <w:vAlign w:val="center"/>
          </w:tcPr>
          <w:p w14:paraId="28ECE2C5" w14:textId="77777777" w:rsidR="00674AE1" w:rsidRPr="0004014E" w:rsidRDefault="00674AE1">
            <w:pPr>
              <w:jc w:val="center"/>
              <w:rPr>
                <w:sz w:val="24"/>
                <w:szCs w:val="24"/>
              </w:rPr>
            </w:pPr>
            <w:r w:rsidRPr="0004014E">
              <w:rPr>
                <w:sz w:val="24"/>
                <w:szCs w:val="24"/>
              </w:rPr>
              <w:t>Behind-the-Meter Load Flex</w:t>
            </w:r>
          </w:p>
        </w:tc>
      </w:tr>
      <w:tr w:rsidR="00674AE1" w:rsidRPr="0004014E" w14:paraId="1089A250" w14:textId="77777777">
        <w:trPr>
          <w:jc w:val="center"/>
        </w:trPr>
        <w:tc>
          <w:tcPr>
            <w:tcW w:w="2223" w:type="dxa"/>
            <w:vAlign w:val="center"/>
          </w:tcPr>
          <w:p w14:paraId="61DD9137" w14:textId="77777777" w:rsidR="00674AE1" w:rsidRPr="0004014E" w:rsidRDefault="00674AE1">
            <w:pPr>
              <w:spacing w:after="0"/>
              <w:jc w:val="center"/>
              <w:rPr>
                <w:sz w:val="24"/>
                <w:szCs w:val="24"/>
              </w:rPr>
            </w:pPr>
            <w:r w:rsidRPr="0004014E">
              <w:rPr>
                <w:sz w:val="24"/>
                <w:szCs w:val="24"/>
              </w:rPr>
              <w:t xml:space="preserve">Pathway 1: </w:t>
            </w:r>
          </w:p>
          <w:p w14:paraId="0C18E425" w14:textId="77777777" w:rsidR="00674AE1" w:rsidRPr="0004014E" w:rsidRDefault="00674AE1">
            <w:pPr>
              <w:spacing w:after="0"/>
              <w:jc w:val="center"/>
              <w:rPr>
                <w:sz w:val="24"/>
                <w:szCs w:val="24"/>
              </w:rPr>
            </w:pPr>
            <w:r w:rsidRPr="0004014E">
              <w:rPr>
                <w:sz w:val="24"/>
                <w:szCs w:val="24"/>
              </w:rPr>
              <w:t>Market-Integrated Dispatch</w:t>
            </w:r>
          </w:p>
        </w:tc>
        <w:tc>
          <w:tcPr>
            <w:tcW w:w="1685" w:type="dxa"/>
            <w:vAlign w:val="center"/>
          </w:tcPr>
          <w:p w14:paraId="31F507E7" w14:textId="77777777" w:rsidR="00674AE1" w:rsidRPr="0004014E" w:rsidRDefault="00674AE1">
            <w:pPr>
              <w:jc w:val="center"/>
              <w:rPr>
                <w:sz w:val="24"/>
                <w:szCs w:val="24"/>
              </w:rPr>
            </w:pPr>
            <w:r w:rsidRPr="0004014E">
              <w:rPr>
                <w:sz w:val="24"/>
                <w:szCs w:val="24"/>
              </w:rPr>
              <w:t>Yes</w:t>
            </w:r>
          </w:p>
        </w:tc>
        <w:tc>
          <w:tcPr>
            <w:tcW w:w="1606" w:type="dxa"/>
            <w:vAlign w:val="center"/>
          </w:tcPr>
          <w:p w14:paraId="203D060E" w14:textId="77777777" w:rsidR="00674AE1" w:rsidRPr="0004014E" w:rsidRDefault="00674AE1">
            <w:pPr>
              <w:jc w:val="center"/>
              <w:rPr>
                <w:sz w:val="24"/>
                <w:szCs w:val="24"/>
              </w:rPr>
            </w:pPr>
            <w:r w:rsidRPr="0004014E">
              <w:rPr>
                <w:sz w:val="24"/>
                <w:szCs w:val="24"/>
              </w:rPr>
              <w:t>Yes</w:t>
            </w:r>
          </w:p>
        </w:tc>
        <w:tc>
          <w:tcPr>
            <w:tcW w:w="1613" w:type="dxa"/>
            <w:vAlign w:val="center"/>
          </w:tcPr>
          <w:p w14:paraId="601E1875" w14:textId="77777777" w:rsidR="00674AE1" w:rsidRPr="0004014E" w:rsidRDefault="00674AE1">
            <w:pPr>
              <w:jc w:val="center"/>
              <w:rPr>
                <w:sz w:val="24"/>
                <w:szCs w:val="24"/>
              </w:rPr>
            </w:pPr>
            <w:r w:rsidRPr="0004014E">
              <w:rPr>
                <w:sz w:val="24"/>
                <w:szCs w:val="24"/>
              </w:rPr>
              <w:t>Yes</w:t>
            </w:r>
          </w:p>
        </w:tc>
        <w:tc>
          <w:tcPr>
            <w:tcW w:w="1603" w:type="dxa"/>
            <w:vAlign w:val="center"/>
          </w:tcPr>
          <w:p w14:paraId="7D9D2461" w14:textId="77777777" w:rsidR="00674AE1" w:rsidRPr="0004014E" w:rsidRDefault="00674AE1">
            <w:pPr>
              <w:jc w:val="center"/>
              <w:rPr>
                <w:sz w:val="24"/>
                <w:szCs w:val="24"/>
              </w:rPr>
            </w:pPr>
            <w:r w:rsidRPr="0004014E">
              <w:rPr>
                <w:sz w:val="24"/>
                <w:szCs w:val="24"/>
              </w:rPr>
              <w:t>Yes</w:t>
            </w:r>
          </w:p>
        </w:tc>
      </w:tr>
      <w:tr w:rsidR="00674AE1" w:rsidRPr="0004014E" w14:paraId="31290252" w14:textId="77777777">
        <w:trPr>
          <w:trHeight w:val="170"/>
          <w:jc w:val="center"/>
        </w:trPr>
        <w:tc>
          <w:tcPr>
            <w:tcW w:w="2223" w:type="dxa"/>
            <w:vAlign w:val="center"/>
          </w:tcPr>
          <w:p w14:paraId="0B24A152" w14:textId="77777777" w:rsidR="00674AE1" w:rsidRPr="0004014E" w:rsidRDefault="00674AE1">
            <w:pPr>
              <w:spacing w:after="0"/>
              <w:jc w:val="center"/>
              <w:rPr>
                <w:sz w:val="24"/>
                <w:szCs w:val="24"/>
              </w:rPr>
            </w:pPr>
            <w:r w:rsidRPr="0004014E">
              <w:rPr>
                <w:sz w:val="24"/>
                <w:szCs w:val="24"/>
              </w:rPr>
              <w:t>Pathway 2: Market-Aware Dispatch</w:t>
            </w:r>
          </w:p>
        </w:tc>
        <w:tc>
          <w:tcPr>
            <w:tcW w:w="1685" w:type="dxa"/>
            <w:shd w:val="clear" w:color="auto" w:fill="BFBFBF" w:themeFill="background1" w:themeFillShade="BF"/>
            <w:vAlign w:val="center"/>
          </w:tcPr>
          <w:p w14:paraId="174D7A7E" w14:textId="77777777" w:rsidR="00674AE1" w:rsidRPr="0004014E" w:rsidRDefault="00674AE1">
            <w:pPr>
              <w:jc w:val="center"/>
              <w:rPr>
                <w:sz w:val="24"/>
                <w:szCs w:val="24"/>
              </w:rPr>
            </w:pPr>
            <w:r w:rsidRPr="0004014E">
              <w:rPr>
                <w:sz w:val="24"/>
                <w:szCs w:val="24"/>
              </w:rPr>
              <w:t>Not Available</w:t>
            </w:r>
          </w:p>
        </w:tc>
        <w:tc>
          <w:tcPr>
            <w:tcW w:w="1606" w:type="dxa"/>
            <w:shd w:val="clear" w:color="auto" w:fill="BFBFBF" w:themeFill="background1" w:themeFillShade="BF"/>
            <w:vAlign w:val="center"/>
          </w:tcPr>
          <w:p w14:paraId="1260F3FD" w14:textId="77777777" w:rsidR="00674AE1" w:rsidRPr="0004014E" w:rsidRDefault="00674AE1">
            <w:pPr>
              <w:jc w:val="center"/>
              <w:rPr>
                <w:sz w:val="24"/>
                <w:szCs w:val="24"/>
              </w:rPr>
            </w:pPr>
            <w:r w:rsidRPr="0004014E">
              <w:rPr>
                <w:sz w:val="24"/>
                <w:szCs w:val="24"/>
              </w:rPr>
              <w:t>Not Available</w:t>
            </w:r>
          </w:p>
        </w:tc>
        <w:tc>
          <w:tcPr>
            <w:tcW w:w="1613" w:type="dxa"/>
            <w:shd w:val="clear" w:color="auto" w:fill="BFBFBF" w:themeFill="background1" w:themeFillShade="BF"/>
            <w:vAlign w:val="center"/>
          </w:tcPr>
          <w:p w14:paraId="2C7CFDF0" w14:textId="77777777" w:rsidR="00674AE1" w:rsidRPr="0004014E" w:rsidRDefault="00674AE1">
            <w:pPr>
              <w:jc w:val="center"/>
              <w:rPr>
                <w:sz w:val="24"/>
                <w:szCs w:val="24"/>
              </w:rPr>
            </w:pPr>
            <w:r w:rsidRPr="0004014E">
              <w:rPr>
                <w:sz w:val="24"/>
                <w:szCs w:val="24"/>
              </w:rPr>
              <w:t>Not Available</w:t>
            </w:r>
          </w:p>
        </w:tc>
        <w:tc>
          <w:tcPr>
            <w:tcW w:w="1603" w:type="dxa"/>
            <w:vAlign w:val="center"/>
          </w:tcPr>
          <w:p w14:paraId="5226AF89" w14:textId="77777777" w:rsidR="00674AE1" w:rsidRPr="0004014E" w:rsidRDefault="00674AE1">
            <w:pPr>
              <w:jc w:val="center"/>
              <w:rPr>
                <w:sz w:val="24"/>
                <w:szCs w:val="24"/>
              </w:rPr>
            </w:pPr>
            <w:r w:rsidRPr="0004014E">
              <w:rPr>
                <w:sz w:val="24"/>
                <w:szCs w:val="24"/>
              </w:rPr>
              <w:t>Yes</w:t>
            </w:r>
          </w:p>
        </w:tc>
      </w:tr>
      <w:tr w:rsidR="00674AE1" w:rsidRPr="0004014E" w14:paraId="77FFDF00" w14:textId="77777777">
        <w:trPr>
          <w:jc w:val="center"/>
        </w:trPr>
        <w:tc>
          <w:tcPr>
            <w:tcW w:w="2223" w:type="dxa"/>
            <w:vAlign w:val="center"/>
          </w:tcPr>
          <w:p w14:paraId="0D4ADEAE" w14:textId="77777777" w:rsidR="00674AE1" w:rsidRPr="0004014E" w:rsidRDefault="00674AE1">
            <w:pPr>
              <w:spacing w:after="0"/>
              <w:jc w:val="center"/>
              <w:rPr>
                <w:sz w:val="24"/>
                <w:szCs w:val="24"/>
              </w:rPr>
            </w:pPr>
            <w:r w:rsidRPr="0004014E">
              <w:rPr>
                <w:sz w:val="24"/>
                <w:szCs w:val="24"/>
              </w:rPr>
              <w:t xml:space="preserve">Pathway 3: </w:t>
            </w:r>
          </w:p>
          <w:p w14:paraId="0C4D795A" w14:textId="77777777" w:rsidR="00674AE1" w:rsidRPr="0004014E" w:rsidRDefault="00674AE1">
            <w:pPr>
              <w:spacing w:after="0"/>
              <w:jc w:val="center"/>
              <w:rPr>
                <w:sz w:val="24"/>
                <w:szCs w:val="24"/>
              </w:rPr>
            </w:pPr>
            <w:r w:rsidRPr="0004014E">
              <w:rPr>
                <w:sz w:val="24"/>
                <w:szCs w:val="24"/>
              </w:rPr>
              <w:t>Hourly Dynamic Pricing Dispatch</w:t>
            </w:r>
          </w:p>
        </w:tc>
        <w:tc>
          <w:tcPr>
            <w:tcW w:w="1685" w:type="dxa"/>
            <w:shd w:val="clear" w:color="auto" w:fill="BFBFBF" w:themeFill="background1" w:themeFillShade="BF"/>
            <w:vAlign w:val="center"/>
          </w:tcPr>
          <w:p w14:paraId="133537C2" w14:textId="77777777" w:rsidR="00674AE1" w:rsidRPr="0004014E" w:rsidRDefault="00674AE1">
            <w:pPr>
              <w:jc w:val="center"/>
              <w:rPr>
                <w:sz w:val="24"/>
                <w:szCs w:val="24"/>
              </w:rPr>
            </w:pPr>
            <w:r w:rsidRPr="0004014E">
              <w:rPr>
                <w:sz w:val="24"/>
                <w:szCs w:val="24"/>
              </w:rPr>
              <w:t>Not Available</w:t>
            </w:r>
          </w:p>
        </w:tc>
        <w:tc>
          <w:tcPr>
            <w:tcW w:w="1606" w:type="dxa"/>
            <w:vAlign w:val="center"/>
          </w:tcPr>
          <w:p w14:paraId="7BA8BA95" w14:textId="77777777" w:rsidR="00674AE1" w:rsidRPr="0004014E" w:rsidRDefault="00674AE1">
            <w:pPr>
              <w:jc w:val="center"/>
              <w:rPr>
                <w:sz w:val="24"/>
                <w:szCs w:val="24"/>
              </w:rPr>
            </w:pPr>
            <w:r w:rsidRPr="0004014E">
              <w:rPr>
                <w:sz w:val="24"/>
                <w:szCs w:val="24"/>
              </w:rPr>
              <w:t>Yes</w:t>
            </w:r>
          </w:p>
        </w:tc>
        <w:tc>
          <w:tcPr>
            <w:tcW w:w="1613" w:type="dxa"/>
            <w:vAlign w:val="center"/>
          </w:tcPr>
          <w:p w14:paraId="130ACD4F" w14:textId="77777777" w:rsidR="00674AE1" w:rsidRPr="0004014E" w:rsidRDefault="00674AE1">
            <w:pPr>
              <w:jc w:val="center"/>
              <w:rPr>
                <w:sz w:val="24"/>
                <w:szCs w:val="24"/>
              </w:rPr>
            </w:pPr>
            <w:r w:rsidRPr="0004014E">
              <w:rPr>
                <w:sz w:val="24"/>
                <w:szCs w:val="24"/>
              </w:rPr>
              <w:t>Yes</w:t>
            </w:r>
          </w:p>
        </w:tc>
        <w:tc>
          <w:tcPr>
            <w:tcW w:w="1603" w:type="dxa"/>
            <w:vAlign w:val="center"/>
          </w:tcPr>
          <w:p w14:paraId="207307D3" w14:textId="77777777" w:rsidR="00674AE1" w:rsidRPr="0004014E" w:rsidRDefault="00674AE1">
            <w:pPr>
              <w:jc w:val="center"/>
              <w:rPr>
                <w:sz w:val="24"/>
                <w:szCs w:val="24"/>
              </w:rPr>
            </w:pPr>
            <w:r w:rsidRPr="0004014E">
              <w:rPr>
                <w:sz w:val="24"/>
                <w:szCs w:val="24"/>
              </w:rPr>
              <w:t>Yes</w:t>
            </w:r>
          </w:p>
        </w:tc>
      </w:tr>
      <w:tr w:rsidR="00674AE1" w:rsidRPr="0004014E" w14:paraId="1D98A619" w14:textId="77777777">
        <w:trPr>
          <w:jc w:val="center"/>
        </w:trPr>
        <w:tc>
          <w:tcPr>
            <w:tcW w:w="2223" w:type="dxa"/>
            <w:vAlign w:val="center"/>
          </w:tcPr>
          <w:p w14:paraId="2E1AE96E" w14:textId="77777777" w:rsidR="00674AE1" w:rsidRPr="0004014E" w:rsidRDefault="00674AE1">
            <w:pPr>
              <w:spacing w:after="0"/>
              <w:jc w:val="center"/>
              <w:rPr>
                <w:sz w:val="24"/>
                <w:szCs w:val="24"/>
              </w:rPr>
            </w:pPr>
            <w:r w:rsidRPr="0004014E">
              <w:rPr>
                <w:sz w:val="24"/>
                <w:szCs w:val="24"/>
              </w:rPr>
              <w:t xml:space="preserve">Pathway 4: </w:t>
            </w:r>
          </w:p>
          <w:p w14:paraId="5979E020" w14:textId="77777777" w:rsidR="00674AE1" w:rsidRPr="0004014E" w:rsidRDefault="00674AE1">
            <w:pPr>
              <w:spacing w:after="0"/>
              <w:jc w:val="center"/>
              <w:rPr>
                <w:sz w:val="24"/>
                <w:szCs w:val="24"/>
              </w:rPr>
            </w:pPr>
            <w:r w:rsidRPr="0004014E">
              <w:rPr>
                <w:sz w:val="24"/>
                <w:szCs w:val="24"/>
              </w:rPr>
              <w:t>Daily Dispatch</w:t>
            </w:r>
          </w:p>
        </w:tc>
        <w:tc>
          <w:tcPr>
            <w:tcW w:w="1685" w:type="dxa"/>
            <w:shd w:val="clear" w:color="auto" w:fill="BFBFBF" w:themeFill="background1" w:themeFillShade="BF"/>
            <w:vAlign w:val="center"/>
          </w:tcPr>
          <w:p w14:paraId="33980A30" w14:textId="77777777" w:rsidR="00674AE1" w:rsidRPr="0004014E" w:rsidRDefault="00674AE1">
            <w:pPr>
              <w:jc w:val="center"/>
              <w:rPr>
                <w:sz w:val="24"/>
                <w:szCs w:val="24"/>
              </w:rPr>
            </w:pPr>
            <w:r w:rsidRPr="0004014E">
              <w:rPr>
                <w:sz w:val="24"/>
                <w:szCs w:val="24"/>
              </w:rPr>
              <w:t>Not Available</w:t>
            </w:r>
          </w:p>
        </w:tc>
        <w:tc>
          <w:tcPr>
            <w:tcW w:w="1606" w:type="dxa"/>
            <w:vAlign w:val="center"/>
          </w:tcPr>
          <w:p w14:paraId="6ACB8FC1" w14:textId="77777777" w:rsidR="00674AE1" w:rsidRPr="0004014E" w:rsidRDefault="00674AE1">
            <w:pPr>
              <w:jc w:val="center"/>
              <w:rPr>
                <w:sz w:val="24"/>
                <w:szCs w:val="24"/>
              </w:rPr>
            </w:pPr>
            <w:r w:rsidRPr="0004014E">
              <w:rPr>
                <w:sz w:val="24"/>
                <w:szCs w:val="24"/>
              </w:rPr>
              <w:t>Yes</w:t>
            </w:r>
          </w:p>
        </w:tc>
        <w:tc>
          <w:tcPr>
            <w:tcW w:w="1613" w:type="dxa"/>
            <w:vAlign w:val="center"/>
          </w:tcPr>
          <w:p w14:paraId="1E56C16C" w14:textId="77777777" w:rsidR="00674AE1" w:rsidRPr="0004014E" w:rsidRDefault="00674AE1">
            <w:pPr>
              <w:jc w:val="center"/>
              <w:rPr>
                <w:sz w:val="24"/>
                <w:szCs w:val="24"/>
              </w:rPr>
            </w:pPr>
            <w:r w:rsidRPr="0004014E">
              <w:rPr>
                <w:sz w:val="24"/>
                <w:szCs w:val="24"/>
              </w:rPr>
              <w:t>Yes</w:t>
            </w:r>
          </w:p>
        </w:tc>
        <w:tc>
          <w:tcPr>
            <w:tcW w:w="1603" w:type="dxa"/>
            <w:vAlign w:val="center"/>
          </w:tcPr>
          <w:p w14:paraId="01470BB4" w14:textId="77777777" w:rsidR="00674AE1" w:rsidRPr="0004014E" w:rsidRDefault="00674AE1">
            <w:pPr>
              <w:jc w:val="center"/>
              <w:rPr>
                <w:sz w:val="24"/>
                <w:szCs w:val="24"/>
              </w:rPr>
            </w:pPr>
            <w:r w:rsidRPr="0004014E">
              <w:rPr>
                <w:sz w:val="24"/>
                <w:szCs w:val="24"/>
              </w:rPr>
              <w:t>Yes</w:t>
            </w:r>
          </w:p>
        </w:tc>
      </w:tr>
    </w:tbl>
    <w:p w14:paraId="1999CF76" w14:textId="7FDEC416" w:rsidR="003753C5" w:rsidRPr="003F4C1A" w:rsidRDefault="003753C5" w:rsidP="00674AE1">
      <w:pPr>
        <w:rPr>
          <w:strike/>
        </w:rPr>
      </w:pPr>
    </w:p>
    <w:p w14:paraId="2F0A961A" w14:textId="0C138802" w:rsidR="00674AE1" w:rsidRDefault="00674AE1" w:rsidP="00674AE1">
      <w:r>
        <w:t xml:space="preserve">For all performance pathways, </w:t>
      </w:r>
      <w:r w:rsidR="002B00EF">
        <w:t xml:space="preserve">a </w:t>
      </w:r>
      <w:r>
        <w:t>project</w:t>
      </w:r>
      <w:r w:rsidR="002B00EF">
        <w:t>’s</w:t>
      </w:r>
      <w:r>
        <w:t xml:space="preserve"> performance </w:t>
      </w:r>
      <w:r w:rsidR="00A73C8A">
        <w:t xml:space="preserve">in terms of demonstrating the project’s ability to deliver </w:t>
      </w:r>
      <w:r w:rsidR="00FF01DC">
        <w:t xml:space="preserve">its </w:t>
      </w:r>
      <w:r w:rsidR="00A73C8A">
        <w:t xml:space="preserve">nominated capacity </w:t>
      </w:r>
      <w:r>
        <w:t xml:space="preserve">will be determined by measuring </w:t>
      </w:r>
      <w:r w:rsidR="00FC08E4">
        <w:t xml:space="preserve">the </w:t>
      </w:r>
      <w:r w:rsidR="00140D80">
        <w:t>“</w:t>
      </w:r>
      <w:r>
        <w:t>demonstrated capacity</w:t>
      </w:r>
      <w:r w:rsidR="00140D80">
        <w:t>”</w:t>
      </w:r>
      <w:r>
        <w:t xml:space="preserve"> (see II.B.6 “Measurement and Verification”) achieved by the project during the applicable </w:t>
      </w:r>
      <w:r w:rsidR="00815956">
        <w:t xml:space="preserve">program events </w:t>
      </w:r>
      <w:r w:rsidR="007B2A27">
        <w:t>(see</w:t>
      </w:r>
      <w:r w:rsidR="002E21B9">
        <w:t xml:space="preserve"> Section </w:t>
      </w:r>
      <w:r w:rsidR="00A91353">
        <w:t>II.</w:t>
      </w:r>
      <w:r w:rsidR="00632061">
        <w:t>B.</w:t>
      </w:r>
      <w:r w:rsidR="00A91353">
        <w:t>5.b</w:t>
      </w:r>
      <w:r w:rsidR="002D51B8">
        <w:t xml:space="preserve"> “Program Events”</w:t>
      </w:r>
      <w:r w:rsidR="007B2A27">
        <w:t xml:space="preserve">) </w:t>
      </w:r>
      <w:r w:rsidR="00815956">
        <w:t xml:space="preserve">selected as </w:t>
      </w:r>
      <w:r>
        <w:t xml:space="preserve">Measurement Hours (see Section II.B.5.c “Measurement Hours”). </w:t>
      </w:r>
    </w:p>
    <w:p w14:paraId="47D797C1" w14:textId="79071A15" w:rsidR="00CF7343" w:rsidRPr="00CF7343" w:rsidRDefault="00674AE1" w:rsidP="00CF7343">
      <w:r w:rsidRPr="001B3C6E">
        <w:lastRenderedPageBreak/>
        <w:t>Details on dispatch requirements, program events</w:t>
      </w:r>
      <w:r w:rsidRPr="00861841">
        <w:t xml:space="preserve"> </w:t>
      </w:r>
      <w:r w:rsidR="00E42CBE" w:rsidRPr="00861841">
        <w:t xml:space="preserve">and </w:t>
      </w:r>
      <w:r w:rsidRPr="00861841">
        <w:t xml:space="preserve">measurement hours selected to measure project performance applicable to all performance pathways are provided below, followed by a </w:t>
      </w:r>
      <w:r w:rsidR="00CF5FD9" w:rsidRPr="00861841">
        <w:t xml:space="preserve">more detailed </w:t>
      </w:r>
      <w:r w:rsidRPr="00861841">
        <w:t xml:space="preserve">description of the four performance pathways. </w:t>
      </w:r>
    </w:p>
    <w:p w14:paraId="12B6A7BF" w14:textId="03AF9B63" w:rsidR="00674AE1" w:rsidRPr="00146C7F" w:rsidRDefault="00674AE1" w:rsidP="00CF7343">
      <w:pPr>
        <w:pStyle w:val="Heading5"/>
        <w:numPr>
          <w:ilvl w:val="2"/>
          <w:numId w:val="17"/>
        </w:numPr>
        <w:ind w:left="1170"/>
      </w:pPr>
      <w:r w:rsidRPr="00CF2DF7">
        <w:t>Dispatch Requirements</w:t>
      </w:r>
    </w:p>
    <w:p w14:paraId="044E10D3" w14:textId="41092C3B" w:rsidR="00674AE1" w:rsidRPr="009C2C97" w:rsidRDefault="007C12B2" w:rsidP="00674AE1">
      <w:pPr>
        <w:rPr>
          <w:u w:val="single"/>
        </w:rPr>
      </w:pPr>
      <w:r>
        <w:t>The p</w:t>
      </w:r>
      <w:r w:rsidR="00674AE1">
        <w:t xml:space="preserve">roject operator </w:t>
      </w:r>
      <w:r>
        <w:t xml:space="preserve">is </w:t>
      </w:r>
      <w:r w:rsidR="00674AE1">
        <w:t xml:space="preserve">expected to </w:t>
      </w:r>
      <w:r w:rsidR="00674AE1" w:rsidRPr="00D66D30">
        <w:t xml:space="preserve">make the </w:t>
      </w:r>
      <w:r w:rsidR="00674AE1">
        <w:t>project</w:t>
      </w:r>
      <w:r w:rsidR="000F0B5B">
        <w:t>’s</w:t>
      </w:r>
      <w:r w:rsidR="00674AE1">
        <w:t xml:space="preserve"> nominated capacity </w:t>
      </w:r>
      <w:r w:rsidR="00674AE1" w:rsidRPr="00D66D30">
        <w:t xml:space="preserve">available </w:t>
      </w:r>
      <w:r w:rsidR="00A1334B">
        <w:t xml:space="preserve">for its full duration dispatch </w:t>
      </w:r>
      <w:r w:rsidR="00674AE1">
        <w:t>every day during Program Hours (or “program window” and defined as the five hours between 4 p.m. to 9 p.m.). The project</w:t>
      </w:r>
      <w:r w:rsidR="00D406E6">
        <w:t xml:space="preserve"> </w:t>
      </w:r>
      <w:r w:rsidR="00674AE1">
        <w:t xml:space="preserve">must be dispatched in response to all program events (as defined </w:t>
      </w:r>
      <w:r w:rsidR="00674AE1" w:rsidRPr="003C0F0C">
        <w:t>below</w:t>
      </w:r>
      <w:r w:rsidR="008669F5" w:rsidRPr="003C0F0C">
        <w:t xml:space="preserve"> in Section II.5.b</w:t>
      </w:r>
      <w:r w:rsidR="00674AE1" w:rsidRPr="003C0F0C">
        <w:t>).</w:t>
      </w:r>
      <w:r w:rsidR="0069159B" w:rsidRPr="009C2C97">
        <w:rPr>
          <w:u w:val="single"/>
        </w:rPr>
        <w:t xml:space="preserve"> </w:t>
      </w:r>
    </w:p>
    <w:p w14:paraId="6B436F42" w14:textId="7ADD53ED" w:rsidR="00F21663" w:rsidRPr="00D91AEF" w:rsidRDefault="00BB3B84" w:rsidP="003616C8">
      <w:r w:rsidRPr="00D91AEF">
        <w:t>The total number of hours a project is dispatched (dispatch hours) during the program season will depend on the selected performance pathway.</w:t>
      </w:r>
    </w:p>
    <w:p w14:paraId="41E8183D" w14:textId="2EF149F7" w:rsidR="00674AE1" w:rsidRPr="00D91AEF" w:rsidRDefault="00674AE1" w:rsidP="00275BAB">
      <w:pPr>
        <w:pStyle w:val="Heading5"/>
        <w:numPr>
          <w:ilvl w:val="2"/>
          <w:numId w:val="17"/>
        </w:numPr>
        <w:ind w:left="1170"/>
      </w:pPr>
      <w:r w:rsidRPr="00D91AEF">
        <w:t>Program Events</w:t>
      </w:r>
    </w:p>
    <w:p w14:paraId="74662DAA" w14:textId="521F5CEC" w:rsidR="007D73BE" w:rsidRPr="00D91AEF" w:rsidRDefault="00674AE1" w:rsidP="00B7781A">
      <w:r w:rsidRPr="00D91AEF">
        <w:t>A program event is triggered in response to a mix of Energy Emergency Alerts (EEAs), market events, or test events as described below, depending on the host BA</w:t>
      </w:r>
      <w:r w:rsidR="000F1078" w:rsidRPr="00D91AEF">
        <w:t>.</w:t>
      </w:r>
      <w:r w:rsidR="00B40ED4" w:rsidRPr="00D91AEF">
        <w:t xml:space="preserve"> </w:t>
      </w:r>
      <w:r w:rsidR="000F1078" w:rsidRPr="00D91AEF">
        <w:t>P</w:t>
      </w:r>
      <w:r w:rsidR="007D73BE" w:rsidRPr="00D91AEF">
        <w:rPr>
          <w:szCs w:val="18"/>
        </w:rPr>
        <w:t>rogram events may be day-ahead events (market or EEAs), day-of events (EEAs), or required test events.</w:t>
      </w:r>
      <w:r w:rsidR="007D73BE" w:rsidRPr="00D91AEF">
        <w:t xml:space="preserve"> </w:t>
      </w:r>
    </w:p>
    <w:p w14:paraId="39369F6E" w14:textId="67ADE48C" w:rsidR="00B43DE2" w:rsidRPr="00D91AEF" w:rsidRDefault="00674AE1" w:rsidP="00AE07BA">
      <w:pPr>
        <w:widowControl w:val="0"/>
        <w:tabs>
          <w:tab w:val="left" w:pos="1619"/>
        </w:tabs>
        <w:autoSpaceDE w:val="0"/>
        <w:autoSpaceDN w:val="0"/>
        <w:spacing w:before="82" w:after="0" w:line="247" w:lineRule="auto"/>
        <w:rPr>
          <w:rFonts w:cs="Tahoma"/>
        </w:rPr>
      </w:pPr>
      <w:r w:rsidRPr="00D91AEF">
        <w:t xml:space="preserve">A program event (including test event) dispatch may last from one hour to up to the project’s full duration. </w:t>
      </w:r>
      <w:r w:rsidR="002528F2" w:rsidRPr="00D91AEF">
        <w:rPr>
          <w:rFonts w:cs="Tahoma"/>
        </w:rPr>
        <w:t>All projects are expected to deliver their nominated capacity during all program events</w:t>
      </w:r>
      <w:r w:rsidR="009B716D" w:rsidRPr="00D91AEF">
        <w:rPr>
          <w:rFonts w:cs="Tahoma"/>
        </w:rPr>
        <w:t xml:space="preserve">, which are </w:t>
      </w:r>
      <w:r w:rsidR="00F571D3" w:rsidRPr="00D91AEF">
        <w:rPr>
          <w:rFonts w:cs="Tahoma"/>
        </w:rPr>
        <w:t xml:space="preserve">the </w:t>
      </w:r>
      <w:r w:rsidR="009B716D" w:rsidRPr="00D91AEF">
        <w:rPr>
          <w:rFonts w:cs="Tahoma"/>
        </w:rPr>
        <w:t>same for all pathways</w:t>
      </w:r>
      <w:r w:rsidR="002528F2" w:rsidRPr="00D91AEF">
        <w:rPr>
          <w:rFonts w:cs="Tahoma"/>
        </w:rPr>
        <w:t>.</w:t>
      </w:r>
    </w:p>
    <w:p w14:paraId="77354A2B" w14:textId="183CAE71" w:rsidR="002B5A37" w:rsidRDefault="00674AE1" w:rsidP="002B5A37">
      <w:pPr>
        <w:widowControl w:val="0"/>
        <w:tabs>
          <w:tab w:val="left" w:pos="1619"/>
        </w:tabs>
        <w:autoSpaceDE w:val="0"/>
        <w:autoSpaceDN w:val="0"/>
        <w:spacing w:before="82" w:after="0" w:line="247" w:lineRule="auto"/>
      </w:pPr>
      <w:r w:rsidRPr="00D91AEF">
        <w:t>At least one program event dispatch of the project’s nominated capacity per month</w:t>
      </w:r>
      <w:r w:rsidRPr="009C2C97">
        <w:rPr>
          <w:u w:val="single"/>
        </w:rPr>
        <w:t xml:space="preserve"> </w:t>
      </w:r>
      <w:r w:rsidRPr="00AB3239">
        <w:t xml:space="preserve">during the program </w:t>
      </w:r>
      <w:r w:rsidR="00E130AF">
        <w:t>season</w:t>
      </w:r>
      <w:r w:rsidR="00E130AF" w:rsidRPr="00AB3239">
        <w:t xml:space="preserve"> </w:t>
      </w:r>
      <w:r w:rsidRPr="00AB3239">
        <w:t xml:space="preserve">for a duration equal to the </w:t>
      </w:r>
      <w:r>
        <w:t xml:space="preserve">project’s </w:t>
      </w:r>
      <w:r w:rsidRPr="00AB3239">
        <w:t>full duration is required.</w:t>
      </w:r>
    </w:p>
    <w:p w14:paraId="193A71D8" w14:textId="205D9DD3" w:rsidR="0065263C" w:rsidRDefault="0065263C" w:rsidP="002B5A37">
      <w:pPr>
        <w:widowControl w:val="0"/>
        <w:tabs>
          <w:tab w:val="left" w:pos="1619"/>
        </w:tabs>
        <w:autoSpaceDE w:val="0"/>
        <w:autoSpaceDN w:val="0"/>
        <w:spacing w:before="82" w:after="0" w:line="247" w:lineRule="auto"/>
      </w:pPr>
      <w:r>
        <w:t xml:space="preserve">It is the responsibility of the applicant (or project operator) to monitor </w:t>
      </w:r>
      <w:r w:rsidR="00966959">
        <w:t xml:space="preserve">the </w:t>
      </w:r>
      <w:r w:rsidR="007C109D">
        <w:t>potential event triggers and dispatch the project accordingly.</w:t>
      </w:r>
    </w:p>
    <w:p w14:paraId="0ACC22BB" w14:textId="574BFD1F" w:rsidR="0099604A" w:rsidRPr="002B5A37" w:rsidRDefault="00674AE1" w:rsidP="002B5A37">
      <w:pPr>
        <w:widowControl w:val="0"/>
        <w:tabs>
          <w:tab w:val="left" w:pos="1619"/>
        </w:tabs>
        <w:autoSpaceDE w:val="0"/>
        <w:autoSpaceDN w:val="0"/>
        <w:spacing w:before="82" w:after="0" w:line="247" w:lineRule="auto"/>
      </w:pPr>
      <w:r>
        <w:t xml:space="preserve"> </w:t>
      </w:r>
    </w:p>
    <w:p w14:paraId="4AF76948" w14:textId="6933BBBF" w:rsidR="00674AE1" w:rsidRPr="00F22ED3" w:rsidRDefault="00674AE1" w:rsidP="0071707C">
      <w:pPr>
        <w:keepNext/>
        <w:rPr>
          <w:bCs/>
          <w:szCs w:val="18"/>
        </w:rPr>
      </w:pPr>
      <w:r w:rsidRPr="00FC2C3A">
        <w:rPr>
          <w:b/>
          <w:i/>
          <w:u w:val="single"/>
        </w:rPr>
        <w:t xml:space="preserve">Project </w:t>
      </w:r>
      <w:r w:rsidR="00B17C6E">
        <w:rPr>
          <w:b/>
          <w:i/>
          <w:u w:val="single"/>
        </w:rPr>
        <w:t>R</w:t>
      </w:r>
      <w:r w:rsidRPr="00FC2C3A">
        <w:rPr>
          <w:b/>
          <w:i/>
          <w:u w:val="single"/>
        </w:rPr>
        <w:t xml:space="preserve">esources </w:t>
      </w:r>
      <w:r w:rsidR="00B17C6E">
        <w:rPr>
          <w:b/>
          <w:i/>
          <w:u w:val="single"/>
        </w:rPr>
        <w:t>L</w:t>
      </w:r>
      <w:r w:rsidRPr="00FC2C3A">
        <w:rPr>
          <w:b/>
          <w:i/>
          <w:u w:val="single"/>
        </w:rPr>
        <w:t xml:space="preserve">ocated in </w:t>
      </w:r>
      <w:r w:rsidR="005137A8">
        <w:rPr>
          <w:b/>
          <w:i/>
          <w:u w:val="single"/>
        </w:rPr>
        <w:t>the</w:t>
      </w:r>
      <w:r w:rsidRPr="00FC2C3A">
        <w:rPr>
          <w:b/>
          <w:i/>
          <w:u w:val="single"/>
        </w:rPr>
        <w:t xml:space="preserve"> California ISO BA</w:t>
      </w:r>
    </w:p>
    <w:p w14:paraId="108ED6A3" w14:textId="3C266180" w:rsidR="00674AE1" w:rsidRPr="003F4AAA" w:rsidRDefault="00674AE1" w:rsidP="00AE07BA">
      <w:pPr>
        <w:pStyle w:val="ListParagraph"/>
        <w:widowControl w:val="0"/>
        <w:numPr>
          <w:ilvl w:val="0"/>
          <w:numId w:val="57"/>
        </w:numPr>
        <w:tabs>
          <w:tab w:val="left" w:pos="1619"/>
        </w:tabs>
        <w:autoSpaceDE w:val="0"/>
        <w:autoSpaceDN w:val="0"/>
        <w:spacing w:before="82" w:after="0" w:line="247" w:lineRule="auto"/>
        <w:contextualSpacing w:val="0"/>
        <w:rPr>
          <w:bCs/>
          <w:szCs w:val="18"/>
        </w:rPr>
      </w:pPr>
      <w:r w:rsidRPr="004A59D7">
        <w:rPr>
          <w:b/>
          <w:bCs/>
        </w:rPr>
        <w:t>Day-Ahead Events</w:t>
      </w:r>
      <w:r>
        <w:rPr>
          <w:b/>
          <w:bCs/>
        </w:rPr>
        <w:t xml:space="preserve"> (market or EEAs)</w:t>
      </w:r>
      <w:r w:rsidRPr="004A59D7">
        <w:rPr>
          <w:b/>
          <w:bCs/>
        </w:rPr>
        <w:t>:</w:t>
      </w:r>
      <w:r w:rsidRPr="004A59D7">
        <w:t xml:space="preserve"> A day-ahead event is triggered within the </w:t>
      </w:r>
      <w:r w:rsidR="00A61C26">
        <w:t xml:space="preserve">program window </w:t>
      </w:r>
      <w:r w:rsidRPr="004A59D7">
        <w:t>hours that meet either of two criteria. These criteria are:</w:t>
      </w:r>
    </w:p>
    <w:p w14:paraId="52CCD8C5" w14:textId="7A85883E" w:rsidR="00674AE1" w:rsidRPr="003F4AAA" w:rsidRDefault="00F55B74" w:rsidP="002E4BF9">
      <w:pPr>
        <w:pStyle w:val="ListParagraph"/>
        <w:numPr>
          <w:ilvl w:val="1"/>
          <w:numId w:val="57"/>
        </w:numPr>
        <w:tabs>
          <w:tab w:val="left" w:pos="1619"/>
        </w:tabs>
        <w:autoSpaceDE w:val="0"/>
        <w:autoSpaceDN w:val="0"/>
        <w:spacing w:before="82" w:after="0" w:line="247" w:lineRule="auto"/>
        <w:ind w:left="1080"/>
        <w:contextualSpacing w:val="0"/>
        <w:rPr>
          <w:bCs/>
          <w:szCs w:val="18"/>
        </w:rPr>
      </w:pPr>
      <w:r w:rsidRPr="02076133">
        <w:rPr>
          <w:b/>
        </w:rPr>
        <w:t xml:space="preserve">Market Event </w:t>
      </w:r>
      <w:r w:rsidR="00674AE1" w:rsidRPr="02076133">
        <w:rPr>
          <w:b/>
        </w:rPr>
        <w:t>Trigger:</w:t>
      </w:r>
      <w:r w:rsidR="00674AE1" w:rsidRPr="02076133">
        <w:rPr>
          <w:b/>
          <w:spacing w:val="3"/>
        </w:rPr>
        <w:t xml:space="preserve"> </w:t>
      </w:r>
      <w:r>
        <w:t>A market event</w:t>
      </w:r>
      <w:r w:rsidRPr="00F66FE5">
        <w:t xml:space="preserve"> is triggered </w:t>
      </w:r>
      <w:r>
        <w:t xml:space="preserve">when the </w:t>
      </w:r>
      <w:r w:rsidRPr="00F66FE5">
        <w:t xml:space="preserve">California ISO </w:t>
      </w:r>
      <w:r>
        <w:t xml:space="preserve">energy </w:t>
      </w:r>
      <w:r w:rsidRPr="00F66FE5">
        <w:t>market price</w:t>
      </w:r>
      <w:r>
        <w:t xml:space="preserve"> exceeds $200/MWh</w:t>
      </w:r>
      <w:r w:rsidRPr="00F66FE5">
        <w:t>. The</w:t>
      </w:r>
      <w:r>
        <w:t xml:space="preserve"> market</w:t>
      </w:r>
      <w:r w:rsidRPr="00F66FE5">
        <w:t xml:space="preserve"> price is defined as the California ISO </w:t>
      </w:r>
      <w:r w:rsidRPr="00F22ED3">
        <w:rPr>
          <w:i/>
          <w:iCs/>
        </w:rPr>
        <w:t>day-ahead</w:t>
      </w:r>
      <w:r w:rsidRPr="00F66FE5">
        <w:t xml:space="preserve"> LMP </w:t>
      </w:r>
      <w:r>
        <w:t xml:space="preserve">at the aggregate pricing node </w:t>
      </w:r>
      <w:r w:rsidRPr="00F66FE5">
        <w:t xml:space="preserve">for the applicable utility distribution company default load aggregation point (DLAP) in which </w:t>
      </w:r>
      <w:r>
        <w:t>the project’s</w:t>
      </w:r>
      <w:r w:rsidRPr="00F66FE5">
        <w:t xml:space="preserve"> host </w:t>
      </w:r>
      <w:r>
        <w:t>site is located</w:t>
      </w:r>
      <w:r w:rsidRPr="00F66FE5">
        <w:t>, or Path 15 zone for POUs.</w:t>
      </w:r>
      <w:r w:rsidRPr="00F66FE5">
        <w:rPr>
          <w:vertAlign w:val="superscript"/>
        </w:rPr>
        <w:footnoteReference w:id="11"/>
      </w:r>
      <w:r w:rsidR="00824A4A">
        <w:t xml:space="preserve"> </w:t>
      </w:r>
      <w:r w:rsidR="00674AE1" w:rsidRPr="02076133">
        <w:t>If multiple</w:t>
      </w:r>
      <w:r w:rsidR="00674AE1" w:rsidRPr="003F4AAA">
        <w:rPr>
          <w:spacing w:val="-4"/>
          <w:szCs w:val="24"/>
        </w:rPr>
        <w:t xml:space="preserve"> </w:t>
      </w:r>
      <w:r w:rsidR="00674AE1" w:rsidRPr="02076133">
        <w:t>hours</w:t>
      </w:r>
      <w:r w:rsidR="00674AE1" w:rsidRPr="003F4AAA">
        <w:rPr>
          <w:spacing w:val="-3"/>
          <w:szCs w:val="24"/>
        </w:rPr>
        <w:t xml:space="preserve"> </w:t>
      </w:r>
      <w:r w:rsidR="00674AE1" w:rsidRPr="02076133">
        <w:t>within</w:t>
      </w:r>
      <w:r w:rsidR="00674AE1" w:rsidRPr="003F4AAA">
        <w:rPr>
          <w:spacing w:val="-4"/>
          <w:szCs w:val="24"/>
        </w:rPr>
        <w:t xml:space="preserve"> </w:t>
      </w:r>
      <w:r w:rsidR="00674AE1" w:rsidRPr="02076133">
        <w:t>the</w:t>
      </w:r>
      <w:r w:rsidR="00674AE1" w:rsidRPr="003F4AAA">
        <w:rPr>
          <w:spacing w:val="-3"/>
          <w:szCs w:val="24"/>
        </w:rPr>
        <w:t xml:space="preserve"> </w:t>
      </w:r>
      <w:r w:rsidR="00674AE1" w:rsidRPr="02076133">
        <w:t>program</w:t>
      </w:r>
      <w:r w:rsidR="00674AE1" w:rsidRPr="003F4AAA">
        <w:rPr>
          <w:spacing w:val="-3"/>
          <w:szCs w:val="24"/>
        </w:rPr>
        <w:t xml:space="preserve"> </w:t>
      </w:r>
      <w:r w:rsidR="00674AE1" w:rsidRPr="02076133">
        <w:t>window</w:t>
      </w:r>
      <w:r w:rsidR="00674AE1" w:rsidRPr="003F4AAA">
        <w:rPr>
          <w:spacing w:val="-5"/>
          <w:szCs w:val="24"/>
        </w:rPr>
        <w:t xml:space="preserve"> </w:t>
      </w:r>
      <w:r w:rsidR="00674AE1" w:rsidRPr="02076133">
        <w:t>meet</w:t>
      </w:r>
      <w:r w:rsidR="00674AE1" w:rsidRPr="003F4AAA">
        <w:rPr>
          <w:spacing w:val="-3"/>
          <w:szCs w:val="24"/>
        </w:rPr>
        <w:t xml:space="preserve"> </w:t>
      </w:r>
      <w:r w:rsidR="00674AE1" w:rsidRPr="02076133">
        <w:t>the</w:t>
      </w:r>
      <w:r w:rsidR="00674AE1" w:rsidRPr="003F4AAA">
        <w:rPr>
          <w:spacing w:val="-3"/>
          <w:szCs w:val="24"/>
        </w:rPr>
        <w:t xml:space="preserve"> </w:t>
      </w:r>
      <w:r w:rsidR="00CF5BCC">
        <w:t xml:space="preserve">market event </w:t>
      </w:r>
      <w:r w:rsidR="00674AE1" w:rsidRPr="02076133">
        <w:t>trigger</w:t>
      </w:r>
      <w:r w:rsidR="00674AE1" w:rsidRPr="003F4AAA">
        <w:rPr>
          <w:spacing w:val="-4"/>
          <w:szCs w:val="24"/>
        </w:rPr>
        <w:t xml:space="preserve"> </w:t>
      </w:r>
      <w:r w:rsidR="00674AE1" w:rsidRPr="02076133">
        <w:t>but</w:t>
      </w:r>
      <w:r w:rsidR="00674AE1" w:rsidRPr="003F4AAA">
        <w:rPr>
          <w:spacing w:val="-3"/>
          <w:szCs w:val="24"/>
        </w:rPr>
        <w:t xml:space="preserve"> </w:t>
      </w:r>
      <w:r w:rsidR="00674AE1" w:rsidRPr="02076133">
        <w:lastRenderedPageBreak/>
        <w:t>are not consecutive, the hour or hours in between shall also be considered to meet this criterion.</w:t>
      </w:r>
    </w:p>
    <w:p w14:paraId="17A4E831" w14:textId="77777777" w:rsidR="00674AE1" w:rsidRPr="003F4AAA" w:rsidRDefault="00674AE1" w:rsidP="00AE07BA">
      <w:pPr>
        <w:pStyle w:val="ListParagraph"/>
        <w:widowControl w:val="0"/>
        <w:numPr>
          <w:ilvl w:val="1"/>
          <w:numId w:val="57"/>
        </w:numPr>
        <w:tabs>
          <w:tab w:val="left" w:pos="1619"/>
        </w:tabs>
        <w:autoSpaceDE w:val="0"/>
        <w:autoSpaceDN w:val="0"/>
        <w:spacing w:before="82" w:after="0" w:line="247" w:lineRule="auto"/>
        <w:ind w:left="1080"/>
        <w:contextualSpacing w:val="0"/>
        <w:rPr>
          <w:b/>
          <w:szCs w:val="18"/>
        </w:rPr>
      </w:pPr>
      <w:r w:rsidRPr="003F4AAA">
        <w:rPr>
          <w:b/>
          <w:szCs w:val="18"/>
        </w:rPr>
        <w:t xml:space="preserve">Day-Ahead Emergency Trigger: </w:t>
      </w:r>
      <w:r w:rsidRPr="003F4AAA">
        <w:rPr>
          <w:bCs/>
          <w:szCs w:val="18"/>
        </w:rPr>
        <w:t xml:space="preserve">If an EEA Watch or above is called for the following day by the host BA, the emergency trigger shall take effect at the beginning of the program window and </w:t>
      </w:r>
      <w:r>
        <w:rPr>
          <w:bCs/>
          <w:szCs w:val="18"/>
        </w:rPr>
        <w:t>last</w:t>
      </w:r>
      <w:r w:rsidRPr="003F4AAA">
        <w:rPr>
          <w:bCs/>
          <w:szCs w:val="18"/>
        </w:rPr>
        <w:t xml:space="preserve"> until the end of the program window.</w:t>
      </w:r>
    </w:p>
    <w:p w14:paraId="2C6C657C" w14:textId="77777777" w:rsidR="00674AE1" w:rsidRPr="003F4AAA" w:rsidRDefault="00674AE1" w:rsidP="00AE07BA">
      <w:pPr>
        <w:widowControl w:val="0"/>
        <w:tabs>
          <w:tab w:val="left" w:pos="1619"/>
        </w:tabs>
        <w:autoSpaceDE w:val="0"/>
        <w:autoSpaceDN w:val="0"/>
        <w:spacing w:before="82" w:after="0" w:line="247" w:lineRule="auto"/>
        <w:ind w:left="720"/>
        <w:rPr>
          <w:szCs w:val="24"/>
        </w:rPr>
      </w:pPr>
      <w:r w:rsidRPr="003F4AAA">
        <w:rPr>
          <w:szCs w:val="24"/>
        </w:rPr>
        <w:t xml:space="preserve">If no hours within the program window meet any of the above criteria, there is no day-ahead program event. </w:t>
      </w:r>
    </w:p>
    <w:p w14:paraId="557E1D0A" w14:textId="3E8431A0" w:rsidR="00674AE1" w:rsidRPr="003F4AAA" w:rsidRDefault="00674AE1" w:rsidP="00AE07BA">
      <w:pPr>
        <w:widowControl w:val="0"/>
        <w:tabs>
          <w:tab w:val="left" w:pos="1619"/>
        </w:tabs>
        <w:autoSpaceDE w:val="0"/>
        <w:autoSpaceDN w:val="0"/>
        <w:spacing w:before="82" w:after="0" w:line="247" w:lineRule="auto"/>
        <w:ind w:left="720"/>
        <w:rPr>
          <w:szCs w:val="24"/>
        </w:rPr>
      </w:pPr>
      <w:r w:rsidRPr="003F4AAA">
        <w:rPr>
          <w:szCs w:val="24"/>
        </w:rPr>
        <w:t xml:space="preserve">If the number of hours where the market price meets the market price trigger, described above, exceeds the project’s full duration, only those consecutive hours with the highest mean market price shall be considered event hours. If the highest mean consecutive hourly market price applies to more than one set of hours (that is, if there is a tie), the </w:t>
      </w:r>
      <w:r>
        <w:rPr>
          <w:szCs w:val="24"/>
        </w:rPr>
        <w:t xml:space="preserve">program </w:t>
      </w:r>
      <w:r w:rsidRPr="003F4AAA">
        <w:rPr>
          <w:szCs w:val="24"/>
        </w:rPr>
        <w:t>event will be the first (that is, earliest) set of hours meeting these conditions.</w:t>
      </w:r>
      <w:r>
        <w:rPr>
          <w:szCs w:val="24"/>
        </w:rPr>
        <w:t xml:space="preserve"> </w:t>
      </w:r>
      <w:r w:rsidRPr="003F4AAA">
        <w:rPr>
          <w:szCs w:val="24"/>
        </w:rPr>
        <w:t>If</w:t>
      </w:r>
      <w:r w:rsidRPr="003F4AAA">
        <w:rPr>
          <w:spacing w:val="-4"/>
          <w:szCs w:val="24"/>
        </w:rPr>
        <w:t xml:space="preserve"> </w:t>
      </w:r>
      <w:r w:rsidRPr="003F4AAA">
        <w:rPr>
          <w:szCs w:val="24"/>
        </w:rPr>
        <w:t>fewer</w:t>
      </w:r>
      <w:r w:rsidRPr="003F4AAA">
        <w:rPr>
          <w:spacing w:val="-4"/>
          <w:szCs w:val="24"/>
        </w:rPr>
        <w:t xml:space="preserve"> </w:t>
      </w:r>
      <w:r>
        <w:rPr>
          <w:spacing w:val="-4"/>
          <w:szCs w:val="24"/>
        </w:rPr>
        <w:t xml:space="preserve">hours </w:t>
      </w:r>
      <w:r w:rsidRPr="003F4AAA">
        <w:rPr>
          <w:szCs w:val="24"/>
        </w:rPr>
        <w:t>than</w:t>
      </w:r>
      <w:r w:rsidRPr="003F4AAA">
        <w:rPr>
          <w:spacing w:val="-3"/>
          <w:szCs w:val="24"/>
        </w:rPr>
        <w:t xml:space="preserve"> </w:t>
      </w:r>
      <w:r>
        <w:rPr>
          <w:szCs w:val="24"/>
        </w:rPr>
        <w:t xml:space="preserve">the project’s full duration </w:t>
      </w:r>
      <w:r w:rsidRPr="003F4AAA">
        <w:rPr>
          <w:szCs w:val="24"/>
        </w:rPr>
        <w:t>meet or exceed the market price trigger, only those hours will count toward performance.</w:t>
      </w:r>
    </w:p>
    <w:p w14:paraId="622CDE0D" w14:textId="77777777" w:rsidR="00674AE1" w:rsidRPr="003F4AAA" w:rsidRDefault="00674AE1" w:rsidP="00AE07BA">
      <w:pPr>
        <w:widowControl w:val="0"/>
        <w:tabs>
          <w:tab w:val="left" w:pos="1619"/>
        </w:tabs>
        <w:autoSpaceDE w:val="0"/>
        <w:autoSpaceDN w:val="0"/>
        <w:spacing w:before="82" w:after="0" w:line="247" w:lineRule="auto"/>
        <w:ind w:left="720"/>
        <w:rPr>
          <w:szCs w:val="24"/>
        </w:rPr>
      </w:pPr>
      <w:r w:rsidRPr="003F4AAA">
        <w:rPr>
          <w:szCs w:val="24"/>
        </w:rPr>
        <w:t>For</w:t>
      </w:r>
      <w:r w:rsidRPr="003F4AAA">
        <w:rPr>
          <w:spacing w:val="-3"/>
          <w:szCs w:val="24"/>
        </w:rPr>
        <w:t xml:space="preserve"> </w:t>
      </w:r>
      <w:r w:rsidRPr="003F4AAA">
        <w:rPr>
          <w:szCs w:val="24"/>
        </w:rPr>
        <w:t>example,</w:t>
      </w:r>
      <w:r w:rsidRPr="003F4AAA">
        <w:rPr>
          <w:spacing w:val="-3"/>
          <w:szCs w:val="24"/>
        </w:rPr>
        <w:t xml:space="preserve"> </w:t>
      </w:r>
      <w:r w:rsidRPr="003F4AAA">
        <w:rPr>
          <w:szCs w:val="24"/>
        </w:rPr>
        <w:t>in the case of a market event,</w:t>
      </w:r>
      <w:r w:rsidRPr="003F4AAA">
        <w:rPr>
          <w:spacing w:val="-2"/>
          <w:szCs w:val="24"/>
        </w:rPr>
        <w:t xml:space="preserve"> </w:t>
      </w:r>
      <w:r w:rsidRPr="003F4AAA">
        <w:rPr>
          <w:szCs w:val="24"/>
        </w:rPr>
        <w:t>the</w:t>
      </w:r>
      <w:r w:rsidRPr="003F4AAA">
        <w:rPr>
          <w:spacing w:val="-3"/>
          <w:szCs w:val="24"/>
        </w:rPr>
        <w:t xml:space="preserve"> </w:t>
      </w:r>
      <w:r w:rsidRPr="003F4AAA">
        <w:rPr>
          <w:szCs w:val="24"/>
        </w:rPr>
        <w:t>performance</w:t>
      </w:r>
      <w:r w:rsidRPr="003F4AAA">
        <w:rPr>
          <w:spacing w:val="-3"/>
          <w:szCs w:val="24"/>
        </w:rPr>
        <w:t xml:space="preserve"> </w:t>
      </w:r>
      <w:r w:rsidRPr="003F4AAA">
        <w:rPr>
          <w:szCs w:val="24"/>
        </w:rPr>
        <w:t>of</w:t>
      </w:r>
      <w:r w:rsidRPr="003F4AAA">
        <w:rPr>
          <w:spacing w:val="-4"/>
          <w:szCs w:val="24"/>
        </w:rPr>
        <w:t xml:space="preserve"> </w:t>
      </w:r>
      <w:r w:rsidRPr="003F4AAA">
        <w:rPr>
          <w:szCs w:val="24"/>
        </w:rPr>
        <w:t>a</w:t>
      </w:r>
      <w:r w:rsidRPr="003F4AAA">
        <w:rPr>
          <w:spacing w:val="-4"/>
          <w:szCs w:val="24"/>
        </w:rPr>
        <w:t xml:space="preserve"> </w:t>
      </w:r>
      <w:r w:rsidRPr="003F4AAA">
        <w:rPr>
          <w:szCs w:val="24"/>
        </w:rPr>
        <w:t>3-hour</w:t>
      </w:r>
      <w:r w:rsidRPr="003F4AAA">
        <w:rPr>
          <w:spacing w:val="-3"/>
          <w:szCs w:val="24"/>
        </w:rPr>
        <w:t xml:space="preserve"> </w:t>
      </w:r>
      <w:r w:rsidRPr="003F4AAA">
        <w:rPr>
          <w:szCs w:val="24"/>
        </w:rPr>
        <w:t>resource</w:t>
      </w:r>
      <w:r w:rsidRPr="003F4AAA">
        <w:rPr>
          <w:spacing w:val="-3"/>
          <w:szCs w:val="24"/>
        </w:rPr>
        <w:t xml:space="preserve"> </w:t>
      </w:r>
      <w:r w:rsidRPr="003F4AAA">
        <w:rPr>
          <w:szCs w:val="24"/>
        </w:rPr>
        <w:t>will</w:t>
      </w:r>
      <w:r w:rsidRPr="003F4AAA">
        <w:rPr>
          <w:spacing w:val="-3"/>
          <w:szCs w:val="24"/>
        </w:rPr>
        <w:t xml:space="preserve"> </w:t>
      </w:r>
      <w:r w:rsidRPr="003F4AAA">
        <w:rPr>
          <w:szCs w:val="24"/>
        </w:rPr>
        <w:t xml:space="preserve">be measured over the three highest-priced consecutive hours that meet or exceed the market price trigger (as set above) during the program window. If more than three hours meet or exceed </w:t>
      </w:r>
      <w:r>
        <w:rPr>
          <w:szCs w:val="24"/>
        </w:rPr>
        <w:t xml:space="preserve">the </w:t>
      </w:r>
      <w:r w:rsidRPr="003F4AAA">
        <w:rPr>
          <w:szCs w:val="24"/>
        </w:rPr>
        <w:t>market price trigger during this</w:t>
      </w:r>
      <w:r w:rsidRPr="003F4AAA">
        <w:rPr>
          <w:spacing w:val="-2"/>
          <w:szCs w:val="24"/>
        </w:rPr>
        <w:t xml:space="preserve"> </w:t>
      </w:r>
      <w:r w:rsidRPr="003F4AAA">
        <w:rPr>
          <w:szCs w:val="24"/>
        </w:rPr>
        <w:t>window</w:t>
      </w:r>
      <w:r w:rsidRPr="003F4AAA">
        <w:rPr>
          <w:spacing w:val="-1"/>
          <w:szCs w:val="24"/>
        </w:rPr>
        <w:t xml:space="preserve"> </w:t>
      </w:r>
      <w:r w:rsidRPr="003F4AAA">
        <w:rPr>
          <w:szCs w:val="24"/>
        </w:rPr>
        <w:t>on</w:t>
      </w:r>
      <w:r w:rsidRPr="003F4AAA">
        <w:rPr>
          <w:spacing w:val="-1"/>
          <w:szCs w:val="24"/>
        </w:rPr>
        <w:t xml:space="preserve"> </w:t>
      </w:r>
      <w:r w:rsidRPr="003F4AAA">
        <w:rPr>
          <w:szCs w:val="24"/>
        </w:rPr>
        <w:t>a given day, only the three highest-priced</w:t>
      </w:r>
      <w:r w:rsidRPr="003F4AAA">
        <w:rPr>
          <w:spacing w:val="-4"/>
          <w:szCs w:val="24"/>
        </w:rPr>
        <w:t xml:space="preserve"> </w:t>
      </w:r>
      <w:r w:rsidRPr="003F4AAA">
        <w:rPr>
          <w:szCs w:val="24"/>
        </w:rPr>
        <w:t>consecutive</w:t>
      </w:r>
      <w:r w:rsidRPr="003F4AAA">
        <w:rPr>
          <w:spacing w:val="-5"/>
          <w:szCs w:val="24"/>
        </w:rPr>
        <w:t xml:space="preserve"> </w:t>
      </w:r>
      <w:r w:rsidRPr="003F4AAA">
        <w:rPr>
          <w:szCs w:val="24"/>
        </w:rPr>
        <w:t>hours</w:t>
      </w:r>
      <w:r w:rsidRPr="003F4AAA">
        <w:rPr>
          <w:spacing w:val="-5"/>
          <w:szCs w:val="24"/>
        </w:rPr>
        <w:t xml:space="preserve"> </w:t>
      </w:r>
      <w:r w:rsidRPr="003F4AAA">
        <w:rPr>
          <w:szCs w:val="24"/>
        </w:rPr>
        <w:t>will</w:t>
      </w:r>
      <w:r w:rsidRPr="003F4AAA">
        <w:rPr>
          <w:spacing w:val="-4"/>
          <w:szCs w:val="24"/>
        </w:rPr>
        <w:t xml:space="preserve"> </w:t>
      </w:r>
      <w:r w:rsidRPr="003F4AAA">
        <w:rPr>
          <w:szCs w:val="24"/>
        </w:rPr>
        <w:t>count</w:t>
      </w:r>
      <w:r w:rsidRPr="003F4AAA">
        <w:rPr>
          <w:spacing w:val="-5"/>
          <w:szCs w:val="24"/>
        </w:rPr>
        <w:t xml:space="preserve"> </w:t>
      </w:r>
      <w:r w:rsidRPr="003F4AAA">
        <w:rPr>
          <w:szCs w:val="24"/>
        </w:rPr>
        <w:t>toward</w:t>
      </w:r>
      <w:r w:rsidRPr="003F4AAA">
        <w:rPr>
          <w:spacing w:val="-3"/>
          <w:szCs w:val="24"/>
        </w:rPr>
        <w:t xml:space="preserve"> </w:t>
      </w:r>
      <w:r w:rsidRPr="003F4AAA">
        <w:rPr>
          <w:szCs w:val="24"/>
        </w:rPr>
        <w:t>performance.</w:t>
      </w:r>
      <w:r w:rsidRPr="003F4AAA">
        <w:rPr>
          <w:spacing w:val="-6"/>
          <w:szCs w:val="24"/>
        </w:rPr>
        <w:t xml:space="preserve"> </w:t>
      </w:r>
      <w:r w:rsidRPr="003F4AAA">
        <w:rPr>
          <w:szCs w:val="24"/>
        </w:rPr>
        <w:t>If</w:t>
      </w:r>
      <w:r w:rsidRPr="003F4AAA">
        <w:rPr>
          <w:spacing w:val="-4"/>
          <w:szCs w:val="24"/>
        </w:rPr>
        <w:t xml:space="preserve"> </w:t>
      </w:r>
      <w:r w:rsidRPr="003F4AAA">
        <w:rPr>
          <w:szCs w:val="24"/>
        </w:rPr>
        <w:t>fewer</w:t>
      </w:r>
      <w:r w:rsidRPr="003F4AAA">
        <w:rPr>
          <w:spacing w:val="-4"/>
          <w:szCs w:val="24"/>
        </w:rPr>
        <w:t xml:space="preserve"> </w:t>
      </w:r>
      <w:r w:rsidRPr="003F4AAA">
        <w:rPr>
          <w:szCs w:val="24"/>
        </w:rPr>
        <w:t>than</w:t>
      </w:r>
      <w:r w:rsidRPr="003F4AAA">
        <w:rPr>
          <w:spacing w:val="-3"/>
          <w:szCs w:val="24"/>
        </w:rPr>
        <w:t xml:space="preserve"> </w:t>
      </w:r>
      <w:r w:rsidRPr="003F4AAA">
        <w:rPr>
          <w:szCs w:val="24"/>
        </w:rPr>
        <w:t>three hours meet or exceed the market price trigger, only those hours will count toward performance.</w:t>
      </w:r>
    </w:p>
    <w:p w14:paraId="6E4F7542" w14:textId="77777777" w:rsidR="00674AE1" w:rsidRPr="006A6E50" w:rsidRDefault="00674AE1" w:rsidP="00AE07BA">
      <w:pPr>
        <w:pStyle w:val="ListParagraph"/>
        <w:widowControl w:val="0"/>
        <w:numPr>
          <w:ilvl w:val="0"/>
          <w:numId w:val="57"/>
        </w:numPr>
        <w:tabs>
          <w:tab w:val="left" w:pos="1619"/>
        </w:tabs>
        <w:autoSpaceDE w:val="0"/>
        <w:autoSpaceDN w:val="0"/>
        <w:spacing w:before="82" w:after="0" w:line="247" w:lineRule="auto"/>
        <w:contextualSpacing w:val="0"/>
        <w:rPr>
          <w:bCs/>
          <w:szCs w:val="18"/>
        </w:rPr>
      </w:pPr>
      <w:r w:rsidRPr="00FC1437">
        <w:rPr>
          <w:b/>
          <w:bCs/>
        </w:rPr>
        <w:t>Day-of Events</w:t>
      </w:r>
      <w:r>
        <w:rPr>
          <w:b/>
          <w:bCs/>
        </w:rPr>
        <w:t xml:space="preserve"> (EEAs)</w:t>
      </w:r>
      <w:r w:rsidRPr="00FC1437">
        <w:rPr>
          <w:b/>
          <w:bCs/>
        </w:rPr>
        <w:t>:</w:t>
      </w:r>
      <w:r w:rsidRPr="004A59D7">
        <w:t xml:space="preserve"> If an EEA Watch or above is issued for the same day by the host BA, </w:t>
      </w:r>
      <w:r>
        <w:t xml:space="preserve">a day-of </w:t>
      </w:r>
      <w:r w:rsidRPr="004A59D7">
        <w:t>emergency trigger</w:t>
      </w:r>
      <w:r>
        <w:t>ed event</w:t>
      </w:r>
      <w:r w:rsidRPr="004A59D7">
        <w:t xml:space="preserve"> shall take effect at the later of the notice issued time rounded to the nearest hour, the notice start time rounded to the nearest hour, and 4:00 p.m., and last no later than 9:00 p.m. Day-of event triggers shall not change day-ahead event hours. If a day-of event is called following a partial-duration day-ahead event, the day-of event hours must be consecutive with the day-ahead event hours. Subject to this constraint, only the consecutive hours of the </w:t>
      </w:r>
      <w:r>
        <w:t xml:space="preserve">resource </w:t>
      </w:r>
      <w:r w:rsidRPr="004A59D7">
        <w:t xml:space="preserve">duration with the highest mean </w:t>
      </w:r>
      <w:r>
        <w:t xml:space="preserve">market price </w:t>
      </w:r>
      <w:r w:rsidRPr="004A59D7">
        <w:t xml:space="preserve">shall be considered event hours, with ties in </w:t>
      </w:r>
      <w:r>
        <w:t>market price</w:t>
      </w:r>
      <w:r w:rsidRPr="004A59D7">
        <w:t xml:space="preserve"> going to the earlier set of hours.</w:t>
      </w:r>
      <w:r w:rsidRPr="004A59D7" w:rsidDel="00B31AE4">
        <w:t xml:space="preserve"> </w:t>
      </w:r>
      <w:r w:rsidRPr="004A59D7">
        <w:t xml:space="preserve">Following the issuance of the first (earliest) day-of EEA Watch or above, the issuance of any subsequent day-of EEAs on the same day shall not supersede or change the day-of event hours. </w:t>
      </w:r>
    </w:p>
    <w:p w14:paraId="67491DB2" w14:textId="3316DFCE" w:rsidR="001A4149" w:rsidRDefault="00674AE1" w:rsidP="00785770">
      <w:pPr>
        <w:pStyle w:val="ListParagraph"/>
        <w:widowControl w:val="0"/>
        <w:numPr>
          <w:ilvl w:val="0"/>
          <w:numId w:val="57"/>
        </w:numPr>
        <w:tabs>
          <w:tab w:val="left" w:pos="1619"/>
        </w:tabs>
        <w:autoSpaceDE w:val="0"/>
        <w:autoSpaceDN w:val="0"/>
        <w:spacing w:before="82" w:after="0" w:line="247" w:lineRule="auto"/>
        <w:contextualSpacing w:val="0"/>
        <w:rPr>
          <w:rFonts w:cs="Tahoma"/>
        </w:rPr>
      </w:pPr>
      <w:r w:rsidRPr="006A6E50">
        <w:rPr>
          <w:b/>
          <w:szCs w:val="18"/>
        </w:rPr>
        <w:t>Test Event</w:t>
      </w:r>
      <w:r>
        <w:rPr>
          <w:b/>
          <w:szCs w:val="18"/>
        </w:rPr>
        <w:t>s</w:t>
      </w:r>
      <w:r>
        <w:rPr>
          <w:bCs/>
          <w:szCs w:val="18"/>
        </w:rPr>
        <w:t xml:space="preserve">: </w:t>
      </w:r>
      <w:r w:rsidRPr="00684611">
        <w:rPr>
          <w:rFonts w:cs="Tahoma"/>
        </w:rPr>
        <w:t>In the absence of a full</w:t>
      </w:r>
      <w:r>
        <w:rPr>
          <w:rFonts w:cs="Tahoma"/>
        </w:rPr>
        <w:t xml:space="preserve"> </w:t>
      </w:r>
      <w:r w:rsidRPr="00684611">
        <w:rPr>
          <w:rFonts w:cs="Tahoma"/>
        </w:rPr>
        <w:t xml:space="preserve">duration </w:t>
      </w:r>
      <w:r>
        <w:rPr>
          <w:rFonts w:cs="Tahoma"/>
        </w:rPr>
        <w:t xml:space="preserve">day-ahead event (as described above) </w:t>
      </w:r>
      <w:r w:rsidR="00996313">
        <w:rPr>
          <w:rFonts w:cs="Tahoma"/>
        </w:rPr>
        <w:t xml:space="preserve">in which the project’s nominated capacity </w:t>
      </w:r>
      <w:r w:rsidR="00FB1873">
        <w:rPr>
          <w:rFonts w:cs="Tahoma"/>
        </w:rPr>
        <w:t>is</w:t>
      </w:r>
      <w:r w:rsidR="00996313">
        <w:rPr>
          <w:rFonts w:cs="Tahoma"/>
        </w:rPr>
        <w:t xml:space="preserve"> delivered </w:t>
      </w:r>
      <w:r>
        <w:rPr>
          <w:rFonts w:cs="Tahoma"/>
        </w:rPr>
        <w:t xml:space="preserve">in any month during the program </w:t>
      </w:r>
      <w:r w:rsidR="00BE76E4">
        <w:rPr>
          <w:rFonts w:cs="Tahoma"/>
        </w:rPr>
        <w:t>season</w:t>
      </w:r>
      <w:r w:rsidRPr="00684611">
        <w:rPr>
          <w:rFonts w:cs="Tahoma"/>
        </w:rPr>
        <w:t xml:space="preserve">, a full duration </w:t>
      </w:r>
      <w:r>
        <w:rPr>
          <w:rFonts w:cs="Tahoma"/>
        </w:rPr>
        <w:t xml:space="preserve">dispatch </w:t>
      </w:r>
      <w:r w:rsidRPr="00684611">
        <w:rPr>
          <w:rFonts w:cs="Tahoma"/>
        </w:rPr>
        <w:t xml:space="preserve">must be </w:t>
      </w:r>
      <w:r>
        <w:rPr>
          <w:rFonts w:cs="Tahoma"/>
        </w:rPr>
        <w:t xml:space="preserve">conducted as a test event </w:t>
      </w:r>
      <w:r w:rsidRPr="00684611">
        <w:rPr>
          <w:rFonts w:cs="Tahoma"/>
        </w:rPr>
        <w:t xml:space="preserve">by </w:t>
      </w:r>
      <w:r>
        <w:rPr>
          <w:rFonts w:cs="Tahoma"/>
        </w:rPr>
        <w:t>the project operator</w:t>
      </w:r>
      <w:r w:rsidRPr="00550CFE">
        <w:rPr>
          <w:rFonts w:cs="Tahoma"/>
        </w:rPr>
        <w:t xml:space="preserve">. </w:t>
      </w:r>
      <w:r>
        <w:rPr>
          <w:rFonts w:cs="Tahoma"/>
        </w:rPr>
        <w:t>On the day selected for the test event, t</w:t>
      </w:r>
      <w:r w:rsidRPr="00550CFE">
        <w:rPr>
          <w:rFonts w:cs="Tahoma"/>
        </w:rPr>
        <w:t xml:space="preserve">he </w:t>
      </w:r>
      <w:r>
        <w:rPr>
          <w:rFonts w:cs="Tahoma"/>
        </w:rPr>
        <w:t xml:space="preserve">project dispatch must </w:t>
      </w:r>
      <w:r w:rsidRPr="00550CFE">
        <w:rPr>
          <w:rFonts w:cs="Tahoma"/>
        </w:rPr>
        <w:t xml:space="preserve">occur during </w:t>
      </w:r>
      <w:r>
        <w:rPr>
          <w:rFonts w:cs="Tahoma"/>
        </w:rPr>
        <w:t xml:space="preserve">the </w:t>
      </w:r>
      <w:r w:rsidR="00AB1095">
        <w:rPr>
          <w:rFonts w:cs="Tahoma"/>
        </w:rPr>
        <w:t xml:space="preserve">program window </w:t>
      </w:r>
      <w:r w:rsidRPr="00550CFE">
        <w:rPr>
          <w:rFonts w:cs="Tahoma"/>
        </w:rPr>
        <w:t xml:space="preserve">hours with the highest consecutive </w:t>
      </w:r>
      <w:r>
        <w:rPr>
          <w:rFonts w:cs="Tahoma"/>
        </w:rPr>
        <w:t>hourly market prices (or load), as described above</w:t>
      </w:r>
      <w:r w:rsidRPr="00550CFE">
        <w:rPr>
          <w:rFonts w:cs="Tahoma"/>
        </w:rPr>
        <w:t>.</w:t>
      </w:r>
      <w:r w:rsidR="000A49AE">
        <w:rPr>
          <w:rFonts w:cs="Tahoma"/>
        </w:rPr>
        <w:t xml:space="preserve"> </w:t>
      </w:r>
      <w:r w:rsidR="008C3E94">
        <w:rPr>
          <w:rFonts w:cs="Tahoma"/>
        </w:rPr>
        <w:t>T</w:t>
      </w:r>
      <w:r w:rsidR="000A49AE">
        <w:rPr>
          <w:rFonts w:cs="Tahoma"/>
        </w:rPr>
        <w:t xml:space="preserve">est events </w:t>
      </w:r>
      <w:r w:rsidR="000A49AE">
        <w:rPr>
          <w:rFonts w:cs="Tahoma"/>
        </w:rPr>
        <w:lastRenderedPageBreak/>
        <w:t xml:space="preserve">require </w:t>
      </w:r>
      <w:r w:rsidR="008C3E94">
        <w:rPr>
          <w:rFonts w:cs="Tahoma"/>
        </w:rPr>
        <w:t xml:space="preserve">day-ahead </w:t>
      </w:r>
      <w:r w:rsidR="000A49AE">
        <w:rPr>
          <w:rFonts w:cs="Tahoma"/>
        </w:rPr>
        <w:t>notification of the CAM.</w:t>
      </w:r>
    </w:p>
    <w:p w14:paraId="6520B426" w14:textId="07E770C5" w:rsidR="00674AE1" w:rsidRPr="00FC2C3A" w:rsidRDefault="00674AE1" w:rsidP="00674AE1">
      <w:pPr>
        <w:spacing w:before="240"/>
        <w:rPr>
          <w:b/>
          <w:i/>
          <w:u w:val="single"/>
        </w:rPr>
      </w:pPr>
      <w:r w:rsidRPr="00FC2C3A">
        <w:rPr>
          <w:b/>
          <w:i/>
          <w:u w:val="single"/>
        </w:rPr>
        <w:t xml:space="preserve">Project </w:t>
      </w:r>
      <w:r w:rsidR="00422BD2">
        <w:rPr>
          <w:b/>
          <w:i/>
          <w:u w:val="single"/>
        </w:rPr>
        <w:t>R</w:t>
      </w:r>
      <w:r w:rsidRPr="00FC2C3A">
        <w:rPr>
          <w:b/>
          <w:i/>
          <w:u w:val="single"/>
        </w:rPr>
        <w:t xml:space="preserve">esources </w:t>
      </w:r>
      <w:r w:rsidR="00422BD2">
        <w:rPr>
          <w:b/>
          <w:i/>
          <w:u w:val="single"/>
        </w:rPr>
        <w:t>L</w:t>
      </w:r>
      <w:r w:rsidRPr="00FC2C3A">
        <w:rPr>
          <w:b/>
          <w:i/>
          <w:u w:val="single"/>
        </w:rPr>
        <w:t xml:space="preserve">ocated in </w:t>
      </w:r>
      <w:r w:rsidR="00422BD2">
        <w:rPr>
          <w:b/>
          <w:i/>
          <w:u w:val="single"/>
        </w:rPr>
        <w:t>O</w:t>
      </w:r>
      <w:r w:rsidRPr="00FC2C3A">
        <w:rPr>
          <w:b/>
          <w:i/>
          <w:u w:val="single"/>
        </w:rPr>
        <w:t>ther BAs</w:t>
      </w:r>
    </w:p>
    <w:p w14:paraId="32ABFF88" w14:textId="77777777" w:rsidR="00674AE1" w:rsidRDefault="00674AE1" w:rsidP="00674AE1">
      <w:r>
        <w:t>A program event</w:t>
      </w:r>
      <w:r w:rsidRPr="00F66FE5">
        <w:t xml:space="preserve"> is triggered in response to a mix of </w:t>
      </w:r>
      <w:r>
        <w:t>EEAs and market events.</w:t>
      </w:r>
    </w:p>
    <w:p w14:paraId="0B76C333" w14:textId="77777777" w:rsidR="00674AE1" w:rsidRDefault="00674AE1" w:rsidP="00674AE1">
      <w:r>
        <w:t xml:space="preserve">A market event is triggered when the load (or net load) exceeds a specified threshold. The high load (or net load) trigger levels for market events will be set by the host BA. </w:t>
      </w:r>
    </w:p>
    <w:p w14:paraId="5A4431EF" w14:textId="34C3DAC8" w:rsidR="00C91373" w:rsidRDefault="00674AE1" w:rsidP="00674AE1">
      <w:r>
        <w:t>Other guidelines as described above for day-ahead</w:t>
      </w:r>
      <w:r w:rsidR="00DA0647">
        <w:t>,</w:t>
      </w:r>
      <w:r>
        <w:t xml:space="preserve"> day-of</w:t>
      </w:r>
      <w:r w:rsidR="00DA0647">
        <w:t>, and test</w:t>
      </w:r>
      <w:r>
        <w:t xml:space="preserve"> events </w:t>
      </w:r>
      <w:r w:rsidR="00A0506A">
        <w:t xml:space="preserve">also </w:t>
      </w:r>
      <w:r>
        <w:t>apply, with “load (net load)” replacing “market price”.</w:t>
      </w:r>
      <w:r w:rsidR="009402EF">
        <w:t xml:space="preserve"> T</w:t>
      </w:r>
      <w:r w:rsidR="0094238D">
        <w:t>he host BA may</w:t>
      </w:r>
      <w:r w:rsidR="00B03E74">
        <w:t xml:space="preserve"> require that test event</w:t>
      </w:r>
      <w:r w:rsidR="00FD3F64">
        <w:t>s be called by the</w:t>
      </w:r>
      <w:r w:rsidR="00FC2574">
        <w:t xml:space="preserve"> host BA in</w:t>
      </w:r>
      <w:r w:rsidR="005759AD">
        <w:t>stead of the project operator.</w:t>
      </w:r>
    </w:p>
    <w:p w14:paraId="19515023" w14:textId="69E80634" w:rsidR="00063ED8" w:rsidRDefault="00607D00" w:rsidP="00674AE1">
      <w:r>
        <w:t>Applicants</w:t>
      </w:r>
      <w:r w:rsidR="00E632E2">
        <w:t xml:space="preserve"> </w:t>
      </w:r>
      <w:r w:rsidR="004F7088">
        <w:t xml:space="preserve">for projects </w:t>
      </w:r>
      <w:r w:rsidR="00B860AF">
        <w:t>not located in</w:t>
      </w:r>
      <w:r w:rsidR="00520455">
        <w:t xml:space="preserve"> </w:t>
      </w:r>
      <w:r w:rsidR="00B860AF">
        <w:t>the</w:t>
      </w:r>
      <w:r w:rsidR="00520455">
        <w:t xml:space="preserve"> California ISO </w:t>
      </w:r>
      <w:r w:rsidR="001D14C0">
        <w:t xml:space="preserve">area </w:t>
      </w:r>
      <w:r w:rsidR="00F740F8">
        <w:t>must</w:t>
      </w:r>
      <w:r w:rsidR="00E632E2">
        <w:t xml:space="preserve"> </w:t>
      </w:r>
      <w:r w:rsidR="00EA091D">
        <w:t xml:space="preserve">work with the </w:t>
      </w:r>
      <w:r w:rsidR="00E632E2">
        <w:t xml:space="preserve">host BA </w:t>
      </w:r>
      <w:r w:rsidR="00EA091D">
        <w:t>to</w:t>
      </w:r>
      <w:r w:rsidR="004F2B49">
        <w:t xml:space="preserve"> determine </w:t>
      </w:r>
      <w:r w:rsidR="005759AD">
        <w:t>test event</w:t>
      </w:r>
      <w:r w:rsidR="00DD6CF7">
        <w:t xml:space="preserve"> protocols and </w:t>
      </w:r>
      <w:r w:rsidR="0063274B">
        <w:t xml:space="preserve">load (net load) </w:t>
      </w:r>
      <w:r w:rsidR="00BF258B">
        <w:t>thresholds</w:t>
      </w:r>
      <w:r w:rsidR="008F2CD2">
        <w:t xml:space="preserve"> </w:t>
      </w:r>
      <w:r w:rsidR="0063274B">
        <w:t>that would trigger</w:t>
      </w:r>
      <w:r w:rsidR="008F2CD2">
        <w:t xml:space="preserve"> </w:t>
      </w:r>
      <w:r w:rsidR="0095780C">
        <w:t xml:space="preserve">a </w:t>
      </w:r>
      <w:r w:rsidR="00A501FF">
        <w:t xml:space="preserve">“market” </w:t>
      </w:r>
      <w:r w:rsidR="008F2CD2">
        <w:t>event</w:t>
      </w:r>
      <w:r w:rsidR="00AC4201">
        <w:t xml:space="preserve"> </w:t>
      </w:r>
      <w:r w:rsidR="00D0699C">
        <w:t xml:space="preserve">in a manner </w:t>
      </w:r>
      <w:proofErr w:type="gramStart"/>
      <w:r w:rsidR="00AC4201">
        <w:t>similar to</w:t>
      </w:r>
      <w:proofErr w:type="gramEnd"/>
      <w:r w:rsidR="00AC4201">
        <w:t xml:space="preserve"> the </w:t>
      </w:r>
      <w:r w:rsidR="006466C3">
        <w:t>California ISO</w:t>
      </w:r>
      <w:r w:rsidR="00AC4201">
        <w:t xml:space="preserve"> price threshold</w:t>
      </w:r>
      <w:r w:rsidR="008F2CD2">
        <w:t xml:space="preserve"> </w:t>
      </w:r>
      <w:r w:rsidR="00AC4201">
        <w:t>described above</w:t>
      </w:r>
      <w:r w:rsidR="00E366A2">
        <w:t>.</w:t>
      </w:r>
    </w:p>
    <w:p w14:paraId="22F33CD0" w14:textId="77777777" w:rsidR="00674AE1" w:rsidRPr="00581F7C" w:rsidRDefault="00674AE1" w:rsidP="00C72E4E">
      <w:pPr>
        <w:pStyle w:val="Heading5"/>
        <w:numPr>
          <w:ilvl w:val="2"/>
          <w:numId w:val="17"/>
        </w:numPr>
        <w:ind w:left="1170"/>
      </w:pPr>
      <w:r w:rsidRPr="00146C7F">
        <w:t>Measurement Hours</w:t>
      </w:r>
    </w:p>
    <w:p w14:paraId="6870B1A1" w14:textId="58AD0372" w:rsidR="00674AE1" w:rsidRDefault="00674AE1" w:rsidP="00674AE1">
      <w:r>
        <w:t xml:space="preserve">As noted earlier, </w:t>
      </w:r>
      <w:r w:rsidR="00B45C2D">
        <w:t>f</w:t>
      </w:r>
      <w:r w:rsidR="00302358">
        <w:t xml:space="preserve">or all performance pathways, a project’s performance in terms of demonstrating the project’s ability to deliver </w:t>
      </w:r>
      <w:r w:rsidR="00E651D0">
        <w:t xml:space="preserve">its </w:t>
      </w:r>
      <w:r w:rsidR="00302358">
        <w:t xml:space="preserve">nominated capacity will be determined by measuring </w:t>
      </w:r>
      <w:r w:rsidR="00CB278B">
        <w:t xml:space="preserve">the </w:t>
      </w:r>
      <w:r w:rsidR="00302358">
        <w:t xml:space="preserve">“demonstrated capacity” </w:t>
      </w:r>
      <w:r w:rsidR="00276F35">
        <w:t xml:space="preserve">(see II.B.6 “Measurement and Verification”) </w:t>
      </w:r>
      <w:r w:rsidR="00302358">
        <w:t xml:space="preserve">achieved by the project </w:t>
      </w:r>
      <w:r w:rsidDel="00505F9F">
        <w:t>during the applicable Measurement Hours</w:t>
      </w:r>
      <w:r w:rsidR="009C6DCE">
        <w:t xml:space="preserve"> </w:t>
      </w:r>
      <w:r w:rsidR="00EB3444">
        <w:t>described below</w:t>
      </w:r>
      <w:r>
        <w:t>.</w:t>
      </w:r>
    </w:p>
    <w:p w14:paraId="3B3BA01B" w14:textId="77777777" w:rsidR="00674AE1" w:rsidRDefault="00674AE1" w:rsidP="00674AE1">
      <w:pPr>
        <w:rPr>
          <w:szCs w:val="18"/>
        </w:rPr>
      </w:pPr>
      <w:r w:rsidRPr="0058589B">
        <w:rPr>
          <w:szCs w:val="18"/>
        </w:rPr>
        <w:t xml:space="preserve">The Measurement Hours utilized for the demonstrated capacity calculation </w:t>
      </w:r>
      <w:r>
        <w:rPr>
          <w:szCs w:val="18"/>
        </w:rPr>
        <w:t xml:space="preserve">for </w:t>
      </w:r>
      <w:r w:rsidRPr="006F1F18">
        <w:rPr>
          <w:i/>
          <w:szCs w:val="18"/>
        </w:rPr>
        <w:t>all pathways include</w:t>
      </w:r>
      <w:r>
        <w:rPr>
          <w:szCs w:val="18"/>
        </w:rPr>
        <w:t xml:space="preserve">: </w:t>
      </w:r>
    </w:p>
    <w:p w14:paraId="7979F4A3" w14:textId="77777777" w:rsidR="00674AE1" w:rsidRPr="00702950" w:rsidRDefault="00674AE1" w:rsidP="00674AE1">
      <w:pPr>
        <w:pStyle w:val="ListParagraph"/>
        <w:widowControl w:val="0"/>
        <w:numPr>
          <w:ilvl w:val="0"/>
          <w:numId w:val="49"/>
        </w:numPr>
        <w:tabs>
          <w:tab w:val="left" w:pos="1619"/>
        </w:tabs>
        <w:autoSpaceDE w:val="0"/>
        <w:autoSpaceDN w:val="0"/>
        <w:spacing w:before="82" w:after="0" w:line="247" w:lineRule="auto"/>
        <w:ind w:left="720" w:right="1140"/>
        <w:rPr>
          <w:szCs w:val="18"/>
        </w:rPr>
      </w:pPr>
      <w:r>
        <w:rPr>
          <w:szCs w:val="18"/>
        </w:rPr>
        <w:t>A</w:t>
      </w:r>
      <w:r w:rsidRPr="00702950">
        <w:rPr>
          <w:szCs w:val="18"/>
        </w:rPr>
        <w:t xml:space="preserve">ny required test events (as applicable for the pathway), plus </w:t>
      </w:r>
    </w:p>
    <w:p w14:paraId="56AB0055" w14:textId="7CF85A99" w:rsidR="00674AE1" w:rsidRDefault="00674AE1" w:rsidP="00674AE1">
      <w:pPr>
        <w:pStyle w:val="ListParagraph"/>
        <w:widowControl w:val="0"/>
        <w:numPr>
          <w:ilvl w:val="0"/>
          <w:numId w:val="49"/>
        </w:numPr>
        <w:tabs>
          <w:tab w:val="left" w:pos="1619"/>
        </w:tabs>
        <w:autoSpaceDE w:val="0"/>
        <w:autoSpaceDN w:val="0"/>
        <w:spacing w:before="82" w:after="0" w:line="247" w:lineRule="auto"/>
        <w:ind w:left="720" w:right="1140"/>
      </w:pPr>
      <w:r>
        <w:t xml:space="preserve">Any hours in which a day-ahead EEA Watch is called by the host BA, as applicable, plus </w:t>
      </w:r>
    </w:p>
    <w:p w14:paraId="7938A51A" w14:textId="77777777" w:rsidR="00674AE1" w:rsidRDefault="00674AE1" w:rsidP="00674AE1">
      <w:pPr>
        <w:pStyle w:val="ListParagraph"/>
        <w:widowControl w:val="0"/>
        <w:numPr>
          <w:ilvl w:val="0"/>
          <w:numId w:val="49"/>
        </w:numPr>
        <w:tabs>
          <w:tab w:val="left" w:pos="1619"/>
        </w:tabs>
        <w:autoSpaceDE w:val="0"/>
        <w:autoSpaceDN w:val="0"/>
        <w:spacing w:before="82" w:after="0" w:line="247" w:lineRule="auto"/>
        <w:ind w:left="720" w:right="1140"/>
      </w:pPr>
      <w:r>
        <w:t xml:space="preserve">All day-ahead market events (as described above) up to a maximum of the top 48 hours with the: </w:t>
      </w:r>
    </w:p>
    <w:p w14:paraId="0D22C9B0" w14:textId="77777777" w:rsidR="00674AE1" w:rsidRDefault="00674AE1" w:rsidP="00674AE1">
      <w:pPr>
        <w:pStyle w:val="ListParagraph"/>
        <w:widowControl w:val="0"/>
        <w:numPr>
          <w:ilvl w:val="0"/>
          <w:numId w:val="50"/>
        </w:numPr>
        <w:tabs>
          <w:tab w:val="left" w:pos="1619"/>
        </w:tabs>
        <w:autoSpaceDE w:val="0"/>
        <w:autoSpaceDN w:val="0"/>
        <w:spacing w:before="82" w:after="0" w:line="247" w:lineRule="auto"/>
        <w:ind w:left="1080" w:right="1138"/>
      </w:pPr>
      <w:r>
        <w:rPr>
          <w:szCs w:val="18"/>
        </w:rPr>
        <w:t xml:space="preserve">Highest </w:t>
      </w:r>
      <w:r w:rsidRPr="00996857">
        <w:rPr>
          <w:i/>
          <w:iCs/>
          <w:szCs w:val="18"/>
        </w:rPr>
        <w:t>day-ahead</w:t>
      </w:r>
      <w:r>
        <w:rPr>
          <w:szCs w:val="18"/>
        </w:rPr>
        <w:t xml:space="preserve"> </w:t>
      </w:r>
      <w:r>
        <w:t xml:space="preserve">locational marginal prices (LMPs) over the applicable pricing node (or aggregate pricing node as applicable) for resources located within the California ISO BA or </w:t>
      </w:r>
    </w:p>
    <w:p w14:paraId="0AA02681" w14:textId="5A2ECD1C" w:rsidR="00674AE1" w:rsidRDefault="00674AE1" w:rsidP="00674AE1">
      <w:pPr>
        <w:pStyle w:val="ListParagraph"/>
        <w:widowControl w:val="0"/>
        <w:numPr>
          <w:ilvl w:val="0"/>
          <w:numId w:val="50"/>
        </w:numPr>
        <w:tabs>
          <w:tab w:val="left" w:pos="1619"/>
        </w:tabs>
        <w:autoSpaceDE w:val="0"/>
        <w:autoSpaceDN w:val="0"/>
        <w:spacing w:before="82" w:after="0" w:line="247" w:lineRule="auto"/>
        <w:ind w:left="1080" w:right="1140"/>
      </w:pPr>
      <w:r>
        <w:t>Highest load (net load) for resources located in other BAs, as set by the project’s host BA.</w:t>
      </w:r>
      <w:r w:rsidR="00FF2558">
        <w:rPr>
          <w:rStyle w:val="FootnoteReference"/>
        </w:rPr>
        <w:footnoteReference w:id="12"/>
      </w:r>
      <w:r>
        <w:t xml:space="preserve"> </w:t>
      </w:r>
    </w:p>
    <w:p w14:paraId="3CF1D3DE" w14:textId="77777777" w:rsidR="00674AE1" w:rsidRDefault="00674AE1" w:rsidP="00674AE1">
      <w:pPr>
        <w:pStyle w:val="ListParagraph"/>
        <w:widowControl w:val="0"/>
        <w:tabs>
          <w:tab w:val="left" w:pos="1619"/>
        </w:tabs>
        <w:autoSpaceDE w:val="0"/>
        <w:autoSpaceDN w:val="0"/>
        <w:spacing w:before="82" w:after="0" w:line="247" w:lineRule="auto"/>
        <w:ind w:left="1080" w:right="1140"/>
      </w:pPr>
    </w:p>
    <w:p w14:paraId="2459BD8C" w14:textId="5EB8A10E" w:rsidR="00674AE1" w:rsidRDefault="00674AE1" w:rsidP="00674AE1">
      <w:r>
        <w:t xml:space="preserve">The EEA Watch hours included in the Measurement Hours will be selected from the Program Hours, consistent with the project’s full duration. </w:t>
      </w:r>
    </w:p>
    <w:p w14:paraId="3C244309" w14:textId="0B745EE3" w:rsidR="00C205B5" w:rsidRDefault="00C205B5" w:rsidP="00C205B5">
      <w:r>
        <w:t>Note that in</w:t>
      </w:r>
      <w:r w:rsidDel="00042834">
        <w:t xml:space="preserve"> each program </w:t>
      </w:r>
      <w:r>
        <w:t xml:space="preserve">season, the Measurement Hours will </w:t>
      </w:r>
      <w:r w:rsidDel="00D8317C">
        <w:t xml:space="preserve">be </w:t>
      </w:r>
      <w:r>
        <w:t xml:space="preserve">a subset of </w:t>
      </w:r>
      <w:r w:rsidR="009C71B2">
        <w:t xml:space="preserve">(or equal to) </w:t>
      </w:r>
      <w:r>
        <w:t xml:space="preserve">all </w:t>
      </w:r>
      <w:r w:rsidR="005F2C38">
        <w:t xml:space="preserve">program event </w:t>
      </w:r>
      <w:r w:rsidR="00654E52">
        <w:t>hours</w:t>
      </w:r>
      <w:r w:rsidR="009C71B2">
        <w:t xml:space="preserve">, which are a subset </w:t>
      </w:r>
      <w:r w:rsidR="001857CD">
        <w:t xml:space="preserve">of all </w:t>
      </w:r>
      <w:r w:rsidR="004A67F0">
        <w:t>dispatch</w:t>
      </w:r>
      <w:r w:rsidR="001A1E83">
        <w:t xml:space="preserve"> and </w:t>
      </w:r>
      <w:r w:rsidR="005F2C38">
        <w:t>p</w:t>
      </w:r>
      <w:r>
        <w:t xml:space="preserve">rogram </w:t>
      </w:r>
      <w:r w:rsidR="005F2C38">
        <w:t>h</w:t>
      </w:r>
      <w:r>
        <w:t xml:space="preserve">ours. </w:t>
      </w:r>
      <w:r w:rsidR="00A667C3">
        <w:t>See Figure 1. “Relationship Between Types of Hours Described in Project Requirements.”</w:t>
      </w:r>
    </w:p>
    <w:p w14:paraId="1F4B5748" w14:textId="77777777" w:rsidR="00507B40" w:rsidRDefault="00507B40" w:rsidP="00C205B5"/>
    <w:p w14:paraId="5A300907" w14:textId="2B83E2C0" w:rsidR="00C6240F" w:rsidRDefault="007506B4" w:rsidP="009A3720">
      <w:pPr>
        <w:keepNext/>
        <w:jc w:val="center"/>
        <w:rPr>
          <w:b/>
        </w:rPr>
      </w:pPr>
      <w:r w:rsidRPr="00B15AD0">
        <w:rPr>
          <w:b/>
        </w:rPr>
        <w:t xml:space="preserve">Figure </w:t>
      </w:r>
      <w:r w:rsidR="002C49F5" w:rsidRPr="00B15AD0">
        <w:rPr>
          <w:b/>
        </w:rPr>
        <w:t xml:space="preserve">1. </w:t>
      </w:r>
      <w:r w:rsidR="00307EFF">
        <w:rPr>
          <w:b/>
        </w:rPr>
        <w:t xml:space="preserve">Relationship </w:t>
      </w:r>
      <w:r w:rsidR="00A667C3">
        <w:rPr>
          <w:b/>
        </w:rPr>
        <w:t>B</w:t>
      </w:r>
      <w:r w:rsidR="00307EFF">
        <w:rPr>
          <w:b/>
        </w:rPr>
        <w:t>etween Types of Hours</w:t>
      </w:r>
      <w:r w:rsidR="00C6240F">
        <w:rPr>
          <w:b/>
        </w:rPr>
        <w:t xml:space="preserve"> Described in Project Requirements</w:t>
      </w:r>
    </w:p>
    <w:p w14:paraId="53FAF465" w14:textId="14C040E6" w:rsidR="007159FC" w:rsidRPr="00561F97" w:rsidRDefault="00561F97" w:rsidP="00561F97">
      <w:pPr>
        <w:jc w:val="center"/>
        <w:rPr>
          <w:b/>
        </w:rPr>
      </w:pPr>
      <w:r w:rsidRPr="00A8204C">
        <w:rPr>
          <w:noProof/>
        </w:rPr>
        <w:drawing>
          <wp:inline distT="0" distB="0" distL="0" distR="0" wp14:anchorId="1B3BB395" wp14:editId="2299087F">
            <wp:extent cx="5943600" cy="3235960"/>
            <wp:effectExtent l="0" t="0" r="0" b="2540"/>
            <wp:docPr id="1255580727" name="Picture 1" descr="Diagram of concentric circles showing the relationship between program hours (largest circle), dispatch hours (smaller circle), program event hours (smaller circle), and measurement hours (smallest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80727" name="Picture 1" descr="Diagram of concentric circles showing the relationship between program hours (largest circle), dispatch hours (smaller circle), program event hours (smaller circle), and measurement hours (smallest circle)."/>
                    <pic:cNvPicPr/>
                  </pic:nvPicPr>
                  <pic:blipFill>
                    <a:blip r:embed="rId34"/>
                    <a:stretch>
                      <a:fillRect/>
                    </a:stretch>
                  </pic:blipFill>
                  <pic:spPr>
                    <a:xfrm>
                      <a:off x="0" y="0"/>
                      <a:ext cx="5943600" cy="3235960"/>
                    </a:xfrm>
                    <a:prstGeom prst="rect">
                      <a:avLst/>
                    </a:prstGeom>
                  </pic:spPr>
                </pic:pic>
              </a:graphicData>
            </a:graphic>
          </wp:inline>
        </w:drawing>
      </w:r>
    </w:p>
    <w:p w14:paraId="5674E77E" w14:textId="6C07917E" w:rsidR="007159FC" w:rsidRPr="00B15AD0" w:rsidRDefault="00F23F4D" w:rsidP="00C205B5">
      <w:pPr>
        <w:rPr>
          <w:sz w:val="20"/>
        </w:rPr>
      </w:pPr>
      <w:r w:rsidRPr="00B15AD0">
        <w:rPr>
          <w:sz w:val="20"/>
        </w:rPr>
        <w:t>Source: California Energy Commission</w:t>
      </w:r>
    </w:p>
    <w:p w14:paraId="0E1C153D" w14:textId="77777777" w:rsidR="00F23F4D" w:rsidRDefault="00F23F4D" w:rsidP="00C205B5"/>
    <w:p w14:paraId="21C96BCB" w14:textId="3A7CCA9A" w:rsidR="00674AE1" w:rsidRDefault="00674AE1" w:rsidP="00674AE1">
      <w:r>
        <w:t xml:space="preserve">It is the project operator’s responsibility to ensure that the project resources are dispatched during all </w:t>
      </w:r>
      <w:r w:rsidR="00FD4EE0">
        <w:t>program events</w:t>
      </w:r>
      <w:r w:rsidRPr="00897AA5">
        <w:t xml:space="preserve">. Resources that do not receive a dispatch </w:t>
      </w:r>
      <w:r>
        <w:t xml:space="preserve">during a Measurement Hour </w:t>
      </w:r>
      <w:r w:rsidRPr="00897AA5">
        <w:t xml:space="preserve">shall be assigned a performance value of 0 MW during </w:t>
      </w:r>
      <w:r>
        <w:t xml:space="preserve">that </w:t>
      </w:r>
      <w:r w:rsidR="00050DB8">
        <w:t>h</w:t>
      </w:r>
      <w:r w:rsidRPr="00897AA5">
        <w:t>our.</w:t>
      </w:r>
    </w:p>
    <w:p w14:paraId="539AA7A2" w14:textId="53B5B633" w:rsidR="00674AE1" w:rsidRPr="002C7D99" w:rsidRDefault="00674AE1" w:rsidP="009914C6">
      <w:pPr>
        <w:pStyle w:val="Heading5"/>
        <w:numPr>
          <w:ilvl w:val="2"/>
          <w:numId w:val="92"/>
        </w:numPr>
      </w:pPr>
      <w:r w:rsidRPr="00214331">
        <w:t>Performance Pathways</w:t>
      </w:r>
    </w:p>
    <w:p w14:paraId="6F1DE1B8" w14:textId="26A9E983" w:rsidR="00674AE1" w:rsidRDefault="00674AE1" w:rsidP="00674AE1">
      <w:r w:rsidRPr="00F47429">
        <w:t xml:space="preserve">The </w:t>
      </w:r>
      <w:r>
        <w:t>four</w:t>
      </w:r>
      <w:r w:rsidRPr="00F47429">
        <w:t xml:space="preserve"> performance pathways</w:t>
      </w:r>
      <w:r>
        <w:t xml:space="preserve"> available, as applicable, for a project to demonstrate its ability to </w:t>
      </w:r>
      <w:r w:rsidR="006B712E">
        <w:t>perform</w:t>
      </w:r>
      <w:r>
        <w:t xml:space="preserve"> when dispatched are described here.</w:t>
      </w:r>
    </w:p>
    <w:p w14:paraId="78B00482" w14:textId="3ABB9166" w:rsidR="005729B2" w:rsidRDefault="005729B2" w:rsidP="005729B2">
      <w:r>
        <w:t xml:space="preserve">Only one performance pathway per proposed application may be selected, regardless of whether the application proposes a single site or multiple subprojects at separate sites. </w:t>
      </w:r>
      <w:r w:rsidR="00D14158">
        <w:t>For the selected pathway, the application should describe how the project will be dispatched to maximize benefits to the host site via bill savings/credits and/or earning compensation for providing grid services</w:t>
      </w:r>
      <w:r w:rsidR="00331627">
        <w:t xml:space="preserve"> (for example, in case of market integrated pathway, describe the bid price strategy to maximize market dispatches).</w:t>
      </w:r>
    </w:p>
    <w:p w14:paraId="13A9DFEC" w14:textId="77777777" w:rsidR="005729B2" w:rsidRDefault="005729B2" w:rsidP="005729B2">
      <w:r>
        <w:t xml:space="preserve">A project and its subprojects in a single application can consist of one or more eligible technologies listed in </w:t>
      </w:r>
      <w:r w:rsidRPr="008A696F">
        <w:t>Section II.B.2</w:t>
      </w:r>
      <w:r>
        <w:t xml:space="preserve"> provided they can be dispatched in response to signals or triggers consistent with the elected performance pathway. </w:t>
      </w:r>
    </w:p>
    <w:p w14:paraId="6BB8D755" w14:textId="77001B66" w:rsidR="005729B2" w:rsidRPr="00A1193F" w:rsidRDefault="005729B2" w:rsidP="005729B2">
      <w:r>
        <w:lastRenderedPageBreak/>
        <w:t>Applicants submitting multiple applications for distinct projects may select different performance pathways for each distinct application provided that each application is limited to a single pathway.</w:t>
      </w:r>
    </w:p>
    <w:p w14:paraId="686930F3" w14:textId="77777777" w:rsidR="00674AE1" w:rsidRPr="009D73AF" w:rsidRDefault="00674AE1" w:rsidP="00674AE1">
      <w:pPr>
        <w:rPr>
          <w:b/>
          <w:i/>
          <w:u w:val="single"/>
        </w:rPr>
      </w:pPr>
      <w:r w:rsidRPr="009D73AF">
        <w:rPr>
          <w:b/>
          <w:i/>
          <w:u w:val="single"/>
        </w:rPr>
        <w:t xml:space="preserve">Pathway 1: </w:t>
      </w:r>
      <w:r w:rsidRPr="00BA3442">
        <w:rPr>
          <w:rStyle w:val="Strong"/>
          <w:rFonts w:cstheme="majorBidi"/>
          <w:i/>
          <w:szCs w:val="24"/>
          <w:u w:val="single"/>
        </w:rPr>
        <w:t>Market</w:t>
      </w:r>
      <w:r w:rsidRPr="009D73AF">
        <w:rPr>
          <w:b/>
          <w:i/>
          <w:u w:val="single"/>
        </w:rPr>
        <w:t>-Integrated Dispatch</w:t>
      </w:r>
    </w:p>
    <w:p w14:paraId="2687C3B4" w14:textId="5C2F9972" w:rsidR="00674AE1" w:rsidRPr="00D66D30" w:rsidRDefault="00674AE1" w:rsidP="00674AE1">
      <w:r>
        <w:t>T</w:t>
      </w:r>
      <w:r w:rsidRPr="00D66D30">
        <w:t>his pathway</w:t>
      </w:r>
      <w:r>
        <w:t xml:space="preserve"> is open for all resource types</w:t>
      </w:r>
      <w:r w:rsidRPr="00D66D30">
        <w:t xml:space="preserve">. Front-of-the-meter (FTM) </w:t>
      </w:r>
      <w:r>
        <w:t>resources</w:t>
      </w:r>
      <w:r w:rsidRPr="00D66D30">
        <w:t xml:space="preserve">, such as </w:t>
      </w:r>
      <w:r>
        <w:t>those connected under the Wholesale Distribution Access Tariff (</w:t>
      </w:r>
      <w:r w:rsidRPr="00D66D30">
        <w:t>WDAT</w:t>
      </w:r>
      <w:r>
        <w:t>)</w:t>
      </w:r>
      <w:r w:rsidRPr="00D66D30">
        <w:t>, must select this pathway.</w:t>
      </w:r>
      <w:r>
        <w:t xml:space="preserve"> Storage connected under Rule 21</w:t>
      </w:r>
      <w:r w:rsidR="00BA7564">
        <w:rPr>
          <w:rStyle w:val="FootnoteReference"/>
        </w:rPr>
        <w:footnoteReference w:id="13"/>
      </w:r>
      <w:r>
        <w:t xml:space="preserve"> but without additional customer load at the site (for example, in a community solar and storage installation) is not considered FTM for the purpose of this solicitation and is not required to elect Pathway 1. </w:t>
      </w:r>
    </w:p>
    <w:p w14:paraId="416B99AC" w14:textId="77777777" w:rsidR="00674AE1" w:rsidRPr="00D66D30" w:rsidRDefault="00674AE1" w:rsidP="00674AE1">
      <w:r>
        <w:t>Applicants</w:t>
      </w:r>
      <w:r w:rsidRPr="00D66D30">
        <w:t xml:space="preserve"> electing this pathway are expected to make the </w:t>
      </w:r>
      <w:r>
        <w:t xml:space="preserve">project </w:t>
      </w:r>
      <w:r w:rsidRPr="00D66D30">
        <w:t>resource</w:t>
      </w:r>
      <w:r>
        <w:t>(s)</w:t>
      </w:r>
      <w:r w:rsidRPr="00D66D30" w:rsidDel="007B225A">
        <w:t xml:space="preserve"> </w:t>
      </w:r>
      <w:r>
        <w:t xml:space="preserve">nominated capacity </w:t>
      </w:r>
      <w:r w:rsidRPr="00D66D30">
        <w:t xml:space="preserve">available on a day-ahead and real-time basis to the host California BA for economic and exceptional dispatch, consistent with the </w:t>
      </w:r>
      <w:r>
        <w:t xml:space="preserve">BA </w:t>
      </w:r>
      <w:r w:rsidRPr="00D66D30">
        <w:t xml:space="preserve">requirements </w:t>
      </w:r>
      <w:r>
        <w:t>applicable to the resource’s</w:t>
      </w:r>
      <w:r w:rsidRPr="00D66D30">
        <w:t xml:space="preserve"> operational capabilities. </w:t>
      </w:r>
    </w:p>
    <w:p w14:paraId="57F327AF" w14:textId="77777777" w:rsidR="00674AE1" w:rsidRPr="00D66D30" w:rsidRDefault="00674AE1" w:rsidP="00674AE1">
      <w:r>
        <w:t xml:space="preserve">Under this pathway, the project resources within the California ISO must bid for or self-schedule in </w:t>
      </w:r>
      <w:r w:rsidRPr="00DC086C">
        <w:t>at least four consecutive hours</w:t>
      </w:r>
      <w:r>
        <w:t xml:space="preserve"> during Program Hours in the day-ahead and real-time markets and dispatch per market instructions. Similarly, resources connected in non-ISO territories must be available for dispatch subject to the rules of the host BA.</w:t>
      </w:r>
    </w:p>
    <w:p w14:paraId="26465A5D" w14:textId="77777777" w:rsidR="00674AE1" w:rsidRPr="00D66D30" w:rsidRDefault="00674AE1" w:rsidP="00674AE1">
      <w:r>
        <w:t xml:space="preserve">It is the project operator’s responsibility to ensure that the bidding or self-scheduling is </w:t>
      </w:r>
      <w:r w:rsidRPr="004C2D27">
        <w:t xml:space="preserve">such that the project resources are dispatched in the market to meet the monthly dispatch requirement and for all program events. Resources that do not receive a dispatch </w:t>
      </w:r>
      <w:r>
        <w:t>for any reason, including</w:t>
      </w:r>
      <w:r w:rsidRPr="004C2D27">
        <w:t xml:space="preserve"> failure to bid </w:t>
      </w:r>
      <w:r>
        <w:t>or unutilized bids,</w:t>
      </w:r>
      <w:r w:rsidRPr="004C2D27">
        <w:t xml:space="preserve"> shall be assigned a performance value of 0 MW during the applicable Measurement Hours.</w:t>
      </w:r>
      <w:r>
        <w:t xml:space="preserve"> </w:t>
      </w:r>
    </w:p>
    <w:p w14:paraId="740569F0" w14:textId="77777777" w:rsidR="00674AE1" w:rsidRPr="009D73AF" w:rsidRDefault="00674AE1" w:rsidP="00674AE1">
      <w:pPr>
        <w:rPr>
          <w:b/>
          <w:i/>
          <w:u w:val="single"/>
        </w:rPr>
      </w:pPr>
      <w:r w:rsidRPr="009D73AF">
        <w:rPr>
          <w:b/>
          <w:i/>
          <w:u w:val="single"/>
        </w:rPr>
        <w:t>Pathway 2: Market-Aware Dispatch</w:t>
      </w:r>
    </w:p>
    <w:p w14:paraId="0EBE1952" w14:textId="77777777" w:rsidR="00674AE1" w:rsidRPr="00F66FE5" w:rsidRDefault="00674AE1" w:rsidP="00674AE1">
      <w:r>
        <w:t xml:space="preserve">This pathway is only open to BTM load flexibility resources. </w:t>
      </w:r>
    </w:p>
    <w:p w14:paraId="47A92485" w14:textId="1312E1B0" w:rsidR="008F7177" w:rsidRPr="00F66FE5" w:rsidRDefault="008F7177" w:rsidP="00674AE1">
      <w:r>
        <w:t xml:space="preserve">Applicants electing this pathway </w:t>
      </w:r>
      <w:r w:rsidR="003B3C86">
        <w:t>are required to dispatch only in response to program events described above (Section II.B.5.b).</w:t>
      </w:r>
    </w:p>
    <w:p w14:paraId="2DDE1F74" w14:textId="77777777" w:rsidR="00674AE1" w:rsidRPr="009D73AF" w:rsidRDefault="00674AE1" w:rsidP="00E42A73">
      <w:pPr>
        <w:keepNext/>
        <w:rPr>
          <w:b/>
          <w:i/>
          <w:u w:val="single"/>
        </w:rPr>
      </w:pPr>
      <w:r w:rsidRPr="009D73AF">
        <w:rPr>
          <w:b/>
          <w:i/>
          <w:u w:val="single"/>
        </w:rPr>
        <w:t>Pathway 3:</w:t>
      </w:r>
      <w:r w:rsidRPr="009D73AF" w:rsidDel="007C20C2">
        <w:rPr>
          <w:b/>
          <w:i/>
          <w:u w:val="single"/>
        </w:rPr>
        <w:t xml:space="preserve"> </w:t>
      </w:r>
      <w:r w:rsidRPr="009D73AF">
        <w:rPr>
          <w:b/>
          <w:i/>
          <w:u w:val="single"/>
        </w:rPr>
        <w:t>Hourly Dynamic Pricing Dispatch</w:t>
      </w:r>
    </w:p>
    <w:p w14:paraId="3D69759D" w14:textId="77777777" w:rsidR="00674AE1" w:rsidRPr="008E2514" w:rsidRDefault="00674AE1" w:rsidP="00674AE1">
      <w:r>
        <w:t>This pathway is open to any resource type</w:t>
      </w:r>
      <w:r w:rsidRPr="008E2514">
        <w:t xml:space="preserve">, except FTM </w:t>
      </w:r>
      <w:r>
        <w:t>resources</w:t>
      </w:r>
      <w:r w:rsidRPr="008E2514">
        <w:t xml:space="preserve"> </w:t>
      </w:r>
      <w:r>
        <w:t>connected under WDAT</w:t>
      </w:r>
      <w:r w:rsidRPr="008E2514">
        <w:t xml:space="preserve">, </w:t>
      </w:r>
      <w:r>
        <w:t xml:space="preserve">and is </w:t>
      </w:r>
      <w:r w:rsidRPr="008E2514">
        <w:t xml:space="preserve">subject to tariff availability in the </w:t>
      </w:r>
      <w:r>
        <w:t xml:space="preserve">host customer’s </w:t>
      </w:r>
      <w:r w:rsidRPr="008E2514">
        <w:t xml:space="preserve">service area. </w:t>
      </w:r>
    </w:p>
    <w:p w14:paraId="0D15471E" w14:textId="72EAF2F2" w:rsidR="002039DC" w:rsidRPr="008E2514" w:rsidRDefault="00674AE1" w:rsidP="00674AE1">
      <w:r>
        <w:t xml:space="preserve">Applicants </w:t>
      </w:r>
      <w:r w:rsidRPr="008E2514">
        <w:t xml:space="preserve">electing this pathway must </w:t>
      </w:r>
      <w:r w:rsidR="00D67BD9">
        <w:t>dispatch</w:t>
      </w:r>
      <w:r w:rsidRPr="008E2514">
        <w:t xml:space="preserve"> </w:t>
      </w:r>
      <w:r w:rsidR="00D67BD9">
        <w:t>the project</w:t>
      </w:r>
      <w:r w:rsidRPr="008E2514">
        <w:t xml:space="preserve"> </w:t>
      </w:r>
      <w:r>
        <w:t>resources</w:t>
      </w:r>
      <w:r w:rsidRPr="008E2514">
        <w:t xml:space="preserve"> in </w:t>
      </w:r>
      <w:r w:rsidR="00CB6433">
        <w:t xml:space="preserve">response </w:t>
      </w:r>
      <w:r w:rsidR="00813F3D">
        <w:t>to</w:t>
      </w:r>
      <w:r w:rsidR="00CB6433">
        <w:t xml:space="preserve"> </w:t>
      </w:r>
      <w:r w:rsidRPr="008E2514">
        <w:t>an hourly dynamic pric</w:t>
      </w:r>
      <w:r w:rsidR="0017410B">
        <w:t>e</w:t>
      </w:r>
      <w:r w:rsidRPr="008E2514">
        <w:t xml:space="preserve"> </w:t>
      </w:r>
      <w:r w:rsidR="00B8097C">
        <w:t>signal</w:t>
      </w:r>
      <w:r w:rsidRPr="008E2514">
        <w:t xml:space="preserve"> that reflects hourly marginal costs based on current </w:t>
      </w:r>
      <w:r>
        <w:t xml:space="preserve">or forecasted </w:t>
      </w:r>
      <w:r w:rsidRPr="008E2514">
        <w:t xml:space="preserve">wholesale energy </w:t>
      </w:r>
      <w:r>
        <w:t xml:space="preserve">market </w:t>
      </w:r>
      <w:r w:rsidRPr="008E2514">
        <w:t xml:space="preserve">prices and other grid capacity utilization levels, such as the hourly dynamic rates offered in </w:t>
      </w:r>
      <w:r>
        <w:t>Investor-Owned Utility (</w:t>
      </w:r>
      <w:r w:rsidRPr="008E2514">
        <w:t>IOU</w:t>
      </w:r>
      <w:proofErr w:type="gramStart"/>
      <w:r>
        <w:t>)</w:t>
      </w:r>
      <w:proofErr w:type="gramEnd"/>
      <w:r>
        <w:t xml:space="preserve"> or Community </w:t>
      </w:r>
      <w:r>
        <w:lastRenderedPageBreak/>
        <w:t>Choice Aggregation (CCA)</w:t>
      </w:r>
      <w:r w:rsidRPr="008E2514">
        <w:t xml:space="preserve"> pilots based on CPUC’s </w:t>
      </w:r>
      <w:r>
        <w:t xml:space="preserve">proposed </w:t>
      </w:r>
      <w:r w:rsidRPr="008E2514">
        <w:t>California Flexible Unified Signal for Energy (</w:t>
      </w:r>
      <w:proofErr w:type="spellStart"/>
      <w:r w:rsidRPr="008E2514">
        <w:t>CalFUSE</w:t>
      </w:r>
      <w:proofErr w:type="spellEnd"/>
      <w:r w:rsidRPr="008E2514">
        <w:t>) framework.</w:t>
      </w:r>
      <w:r w:rsidRPr="008E2514">
        <w:rPr>
          <w:vertAlign w:val="superscript"/>
        </w:rPr>
        <w:footnoteReference w:id="14"/>
      </w:r>
      <w:r w:rsidRPr="008E2514" w:rsidDel="00E60801">
        <w:t xml:space="preserve"> </w:t>
      </w:r>
    </w:p>
    <w:p w14:paraId="3C4BDA9E" w14:textId="77777777" w:rsidR="00674AE1" w:rsidRPr="009D73AF" w:rsidRDefault="00674AE1" w:rsidP="00674AE1">
      <w:pPr>
        <w:rPr>
          <w:b/>
          <w:i/>
          <w:u w:val="single"/>
        </w:rPr>
      </w:pPr>
      <w:r w:rsidRPr="009D73AF">
        <w:rPr>
          <w:b/>
          <w:i/>
          <w:u w:val="single"/>
        </w:rPr>
        <w:t>Pathway 4: Daily Dispatch</w:t>
      </w:r>
    </w:p>
    <w:p w14:paraId="450EA528" w14:textId="77777777" w:rsidR="00674AE1" w:rsidRPr="008E2514" w:rsidRDefault="00674AE1" w:rsidP="00674AE1">
      <w:r>
        <w:t>This pathway is open to any resource type</w:t>
      </w:r>
      <w:r w:rsidRPr="008E2514">
        <w:t xml:space="preserve">, except FTM </w:t>
      </w:r>
      <w:r>
        <w:t>resources</w:t>
      </w:r>
      <w:r w:rsidRPr="008E2514">
        <w:t xml:space="preserve"> </w:t>
      </w:r>
      <w:r>
        <w:t>connected under WDAT.</w:t>
      </w:r>
      <w:r w:rsidRPr="008E2514">
        <w:t xml:space="preserve"> </w:t>
      </w:r>
    </w:p>
    <w:p w14:paraId="102765B7" w14:textId="0A41EF07" w:rsidR="00485146" w:rsidRPr="00616CF1" w:rsidRDefault="00373E18" w:rsidP="00674AE1">
      <w:r>
        <w:t>An a</w:t>
      </w:r>
      <w:r w:rsidR="00674AE1" w:rsidRPr="00616CF1">
        <w:t xml:space="preserve">pplicant electing this pathway must dispatch the project resources daily </w:t>
      </w:r>
      <w:r w:rsidR="001D2029">
        <w:t xml:space="preserve">during the Program Hours </w:t>
      </w:r>
      <w:r w:rsidR="00674AE1" w:rsidRPr="00616CF1">
        <w:t xml:space="preserve">in </w:t>
      </w:r>
      <w:r w:rsidR="00B27F50">
        <w:t>the</w:t>
      </w:r>
      <w:r>
        <w:t xml:space="preserve"> applicant</w:t>
      </w:r>
      <w:r w:rsidR="00B27F50">
        <w:t xml:space="preserve"> </w:t>
      </w:r>
      <w:r w:rsidR="00674AE1" w:rsidRPr="00616CF1">
        <w:t xml:space="preserve">designated consecutive hours equal to at minimum </w:t>
      </w:r>
      <w:r w:rsidR="00674AE1" w:rsidRPr="00963D42">
        <w:t>four hours, or the project’s full duration if the full duration is less than four hours</w:t>
      </w:r>
      <w:r w:rsidR="00674AE1" w:rsidRPr="00616CF1">
        <w:t xml:space="preserve">. </w:t>
      </w:r>
    </w:p>
    <w:p w14:paraId="60F22C12" w14:textId="77777777" w:rsidR="00674AE1" w:rsidRPr="007B7820" w:rsidRDefault="00674AE1" w:rsidP="00674AE1">
      <w:pPr>
        <w:pStyle w:val="Heading4"/>
        <w:numPr>
          <w:ilvl w:val="0"/>
          <w:numId w:val="59"/>
        </w:numPr>
        <w:tabs>
          <w:tab w:val="num" w:pos="360"/>
        </w:tabs>
        <w:ind w:left="0" w:firstLine="0"/>
      </w:pPr>
      <w:bookmarkStart w:id="139" w:name="_Toc228953772"/>
      <w:bookmarkStart w:id="140" w:name="_Toc243558528"/>
      <w:r>
        <w:t>Measurement and Verification</w:t>
      </w:r>
      <w:bookmarkEnd w:id="139"/>
      <w:bookmarkEnd w:id="140"/>
    </w:p>
    <w:p w14:paraId="45918B73" w14:textId="0FF83F54" w:rsidR="00674AE1" w:rsidRDefault="00674AE1" w:rsidP="00674AE1">
      <w:r>
        <w:t xml:space="preserve">All Applicants must submit a Measurement and Verification (M&amp;V) Plan that describes planning and execution of </w:t>
      </w:r>
      <w:r w:rsidRPr="4B07D270">
        <w:rPr>
          <w:rStyle w:val="normaltextrun"/>
          <w:color w:val="000000"/>
          <w:shd w:val="clear" w:color="auto" w:fill="FFFFFF"/>
        </w:rPr>
        <w:t xml:space="preserve">data collection and data </w:t>
      </w:r>
      <w:r>
        <w:rPr>
          <w:rStyle w:val="normaltextrun"/>
          <w:color w:val="000000"/>
          <w:shd w:val="clear" w:color="auto" w:fill="FFFFFF"/>
        </w:rPr>
        <w:t>analysis</w:t>
      </w:r>
      <w:r w:rsidRPr="4B07D270">
        <w:rPr>
          <w:rStyle w:val="normaltextrun"/>
          <w:color w:val="000000"/>
          <w:shd w:val="clear" w:color="auto" w:fill="FFFFFF"/>
        </w:rPr>
        <w:t xml:space="preserve"> of </w:t>
      </w:r>
      <w:r>
        <w:rPr>
          <w:rStyle w:val="normaltextrun"/>
          <w:color w:val="000000"/>
          <w:shd w:val="clear" w:color="auto" w:fill="FFFFFF"/>
        </w:rPr>
        <w:t xml:space="preserve">project </w:t>
      </w:r>
      <w:r w:rsidRPr="00027E63">
        <w:rPr>
          <w:rStyle w:val="normaltextrun"/>
          <w:color w:val="000000"/>
          <w:shd w:val="clear" w:color="auto" w:fill="FFFFFF"/>
        </w:rPr>
        <w:t>operations</w:t>
      </w:r>
      <w:r w:rsidRPr="4B07D270">
        <w:rPr>
          <w:rStyle w:val="normaltextrun"/>
          <w:color w:val="000000"/>
          <w:shd w:val="clear" w:color="auto" w:fill="FFFFFF"/>
        </w:rPr>
        <w:t xml:space="preserve"> that will enable measurement and evaluation of</w:t>
      </w:r>
      <w:r>
        <w:rPr>
          <w:rStyle w:val="normaltextrun"/>
          <w:color w:val="000000"/>
          <w:shd w:val="clear" w:color="auto" w:fill="FFFFFF"/>
        </w:rPr>
        <w:t xml:space="preserve"> the</w:t>
      </w:r>
      <w:r w:rsidRPr="4B07D270">
        <w:rPr>
          <w:rStyle w:val="normaltextrun"/>
          <w:color w:val="000000"/>
          <w:shd w:val="clear" w:color="auto" w:fill="FFFFFF"/>
        </w:rPr>
        <w:t xml:space="preserve"> </w:t>
      </w:r>
      <w:r>
        <w:rPr>
          <w:rStyle w:val="normaltextrun"/>
          <w:color w:val="000000"/>
          <w:shd w:val="clear" w:color="auto" w:fill="FFFFFF"/>
        </w:rPr>
        <w:t>project</w:t>
      </w:r>
      <w:r w:rsidRPr="4B07D270">
        <w:rPr>
          <w:rStyle w:val="normaltextrun"/>
          <w:color w:val="000000"/>
          <w:shd w:val="clear" w:color="auto" w:fill="FFFFFF"/>
        </w:rPr>
        <w:t>’s performance and benefits</w:t>
      </w:r>
      <w:r w:rsidRPr="00884CF7">
        <w:t xml:space="preserve"> </w:t>
      </w:r>
      <w:r w:rsidRPr="00663B08">
        <w:t>(</w:t>
      </w:r>
      <w:r w:rsidRPr="00884CF7">
        <w:t xml:space="preserve">see Attachment </w:t>
      </w:r>
      <w:r w:rsidRPr="00E349CB">
        <w:t>10</w:t>
      </w:r>
      <w:r>
        <w:t xml:space="preserve"> for further details</w:t>
      </w:r>
      <w:r w:rsidRPr="00884CF7">
        <w:t xml:space="preserve">). </w:t>
      </w:r>
      <w:r w:rsidRPr="264B1450">
        <w:rPr>
          <w:color w:val="000000" w:themeColor="text1"/>
        </w:rPr>
        <w:t>T</w:t>
      </w:r>
      <w:r w:rsidRPr="4B07D270">
        <w:rPr>
          <w:rStyle w:val="normaltextrun"/>
          <w:color w:val="000000"/>
          <w:shd w:val="clear" w:color="auto" w:fill="FFFFFF"/>
        </w:rPr>
        <w:t xml:space="preserve">he activities </w:t>
      </w:r>
      <w:r w:rsidRPr="02330321">
        <w:rPr>
          <w:rStyle w:val="normaltextrun"/>
          <w:color w:val="000000" w:themeColor="text1"/>
        </w:rPr>
        <w:t>listed in the Applicant’s</w:t>
      </w:r>
      <w:r w:rsidRPr="4E06A70A">
        <w:rPr>
          <w:rStyle w:val="normaltextrun"/>
          <w:color w:val="000000" w:themeColor="text1"/>
        </w:rPr>
        <w:t xml:space="preserve"> </w:t>
      </w:r>
      <w:r w:rsidRPr="02330321">
        <w:rPr>
          <w:rStyle w:val="normaltextrun"/>
          <w:color w:val="000000" w:themeColor="text1"/>
        </w:rPr>
        <w:t>pr</w:t>
      </w:r>
      <w:r w:rsidRPr="1D33B90F">
        <w:rPr>
          <w:rStyle w:val="normaltextrun"/>
          <w:color w:val="000000"/>
          <w:shd w:val="clear" w:color="auto" w:fill="FFFFFF"/>
        </w:rPr>
        <w:t>oposed</w:t>
      </w:r>
      <w:r w:rsidRPr="4B07D270">
        <w:rPr>
          <w:rStyle w:val="normaltextrun"/>
          <w:color w:val="000000"/>
          <w:shd w:val="clear" w:color="auto" w:fill="FFFFFF"/>
        </w:rPr>
        <w:t xml:space="preserve"> M&amp;V Plan </w:t>
      </w:r>
      <w:r>
        <w:rPr>
          <w:rStyle w:val="normaltextrun"/>
          <w:color w:val="000000"/>
          <w:shd w:val="clear" w:color="auto" w:fill="FFFFFF"/>
        </w:rPr>
        <w:t>must</w:t>
      </w:r>
      <w:r w:rsidRPr="4B07D270">
        <w:rPr>
          <w:rStyle w:val="normaltextrun"/>
          <w:color w:val="000000"/>
          <w:shd w:val="clear" w:color="auto" w:fill="FFFFFF"/>
        </w:rPr>
        <w:t xml:space="preserve"> </w:t>
      </w:r>
      <w:r>
        <w:rPr>
          <w:rStyle w:val="normaltextrun"/>
          <w:color w:val="000000"/>
          <w:shd w:val="clear" w:color="auto" w:fill="FFFFFF"/>
        </w:rPr>
        <w:t>align</w:t>
      </w:r>
      <w:r w:rsidRPr="4B07D270">
        <w:rPr>
          <w:rStyle w:val="normaltextrun"/>
          <w:color w:val="000000"/>
          <w:shd w:val="clear" w:color="auto" w:fill="FFFFFF"/>
        </w:rPr>
        <w:t xml:space="preserve"> with the </w:t>
      </w:r>
      <w:r w:rsidR="00F42E1B">
        <w:rPr>
          <w:rStyle w:val="normaltextrun"/>
          <w:color w:val="000000"/>
          <w:shd w:val="clear" w:color="auto" w:fill="FFFFFF"/>
        </w:rPr>
        <w:t>Project</w:t>
      </w:r>
      <w:r w:rsidR="00F42E1B">
        <w:t xml:space="preserve"> Narrative (Attachment </w:t>
      </w:r>
      <w:r w:rsidR="00F42E1B" w:rsidRPr="00E349CB">
        <w:t>02</w:t>
      </w:r>
      <w:r w:rsidR="00F42E1B">
        <w:t xml:space="preserve">), </w:t>
      </w:r>
      <w:r w:rsidRPr="4B07D270">
        <w:rPr>
          <w:rStyle w:val="normaltextrun"/>
          <w:color w:val="000000"/>
          <w:shd w:val="clear" w:color="auto" w:fill="FFFFFF"/>
        </w:rPr>
        <w:t xml:space="preserve">Scope of Work (Attachment </w:t>
      </w:r>
      <w:r w:rsidRPr="00E349CB">
        <w:rPr>
          <w:rStyle w:val="normaltextrun"/>
          <w:color w:val="000000"/>
          <w:shd w:val="clear" w:color="auto" w:fill="FFFFFF"/>
        </w:rPr>
        <w:t>04</w:t>
      </w:r>
      <w:r w:rsidRPr="4B07D270">
        <w:rPr>
          <w:rStyle w:val="normaltextrun"/>
          <w:color w:val="000000"/>
          <w:shd w:val="clear" w:color="auto" w:fill="FFFFFF"/>
        </w:rPr>
        <w:t xml:space="preserve">), </w:t>
      </w:r>
      <w:r w:rsidR="00F42E1B">
        <w:rPr>
          <w:rStyle w:val="normaltextrun"/>
          <w:color w:val="000000"/>
          <w:shd w:val="clear" w:color="auto" w:fill="FFFFFF"/>
        </w:rPr>
        <w:t xml:space="preserve">and </w:t>
      </w:r>
      <w:r>
        <w:rPr>
          <w:rStyle w:val="normaltextrun"/>
          <w:color w:val="000000"/>
          <w:shd w:val="clear" w:color="auto" w:fill="FFFFFF"/>
        </w:rPr>
        <w:t>Project</w:t>
      </w:r>
      <w:r w:rsidRPr="4B07D270">
        <w:rPr>
          <w:rStyle w:val="normaltextrun"/>
          <w:color w:val="000000"/>
          <w:shd w:val="clear" w:color="auto" w:fill="FFFFFF"/>
        </w:rPr>
        <w:t xml:space="preserve"> Schedule (Attachment </w:t>
      </w:r>
      <w:r w:rsidRPr="00E349CB">
        <w:rPr>
          <w:rStyle w:val="normaltextrun"/>
          <w:color w:val="000000"/>
          <w:shd w:val="clear" w:color="auto" w:fill="FFFFFF"/>
        </w:rPr>
        <w:t>0</w:t>
      </w:r>
      <w:r w:rsidRPr="00462922">
        <w:rPr>
          <w:rStyle w:val="normaltextrun"/>
          <w:color w:val="000000"/>
          <w:shd w:val="clear" w:color="auto" w:fill="FFFFFF"/>
        </w:rPr>
        <w:t>5)</w:t>
      </w:r>
      <w:r w:rsidR="00F42E1B">
        <w:rPr>
          <w:rStyle w:val="normaltextrun"/>
          <w:color w:val="000000"/>
          <w:shd w:val="clear" w:color="auto" w:fill="FFFFFF"/>
        </w:rPr>
        <w:t>.</w:t>
      </w:r>
    </w:p>
    <w:p w14:paraId="7B9F9D9B" w14:textId="77777777" w:rsidR="00674AE1" w:rsidRDefault="00674AE1" w:rsidP="00674AE1">
      <w:r>
        <w:t xml:space="preserve">The M&amp;V Plan must describe how dispatch performance and demonstrated capacity will be measured. </w:t>
      </w:r>
    </w:p>
    <w:p w14:paraId="356E338D" w14:textId="77777777" w:rsidR="00674AE1" w:rsidRPr="00444EFE" w:rsidRDefault="00674AE1" w:rsidP="004605BE">
      <w:pPr>
        <w:pStyle w:val="Heading5"/>
        <w:numPr>
          <w:ilvl w:val="0"/>
          <w:numId w:val="70"/>
        </w:numPr>
        <w:ind w:left="1260" w:hanging="540"/>
      </w:pPr>
      <w:r w:rsidRPr="00757A6C">
        <w:t>Dispatch Performance</w:t>
      </w:r>
    </w:p>
    <w:p w14:paraId="5FBC85F5" w14:textId="4BFD1EDA" w:rsidR="00674AE1" w:rsidRDefault="00674AE1" w:rsidP="00366697">
      <w:pPr>
        <w:rPr>
          <w:b/>
          <w:bCs/>
        </w:rPr>
      </w:pPr>
      <w:r w:rsidRPr="00285BB4">
        <w:t>Dispatch performance of a DEBA resource is the measured generation, discharge, or load impact during an hour in which the resource is dispatched</w:t>
      </w:r>
      <w:r>
        <w:t xml:space="preserve">, in time increments noted in the </w:t>
      </w:r>
      <w:r w:rsidR="006B042C">
        <w:t>M&amp;V</w:t>
      </w:r>
      <w:r>
        <w:t xml:space="preserve"> Plan (Attachment 10)</w:t>
      </w:r>
      <w:r w:rsidRPr="00285BB4">
        <w:t xml:space="preserve">. </w:t>
      </w:r>
      <w:r>
        <w:t>D</w:t>
      </w:r>
      <w:r w:rsidRPr="00285BB4">
        <w:t>ispatch</w:t>
      </w:r>
      <w:r>
        <w:t xml:space="preserve"> </w:t>
      </w:r>
      <w:r w:rsidRPr="00285BB4">
        <w:t>performance is measured</w:t>
      </w:r>
      <w:r>
        <w:t>,</w:t>
      </w:r>
      <w:r w:rsidRPr="00285BB4">
        <w:t xml:space="preserve"> </w:t>
      </w:r>
      <w:r>
        <w:t xml:space="preserve">and </w:t>
      </w:r>
      <w:r w:rsidR="003928CC">
        <w:t xml:space="preserve">the relevant </w:t>
      </w:r>
      <w:r>
        <w:t xml:space="preserve">data </w:t>
      </w:r>
      <w:r w:rsidR="003928CC">
        <w:t>collected</w:t>
      </w:r>
      <w:r>
        <w:t>,</w:t>
      </w:r>
      <w:r w:rsidRPr="00285BB4">
        <w:t xml:space="preserve"> </w:t>
      </w:r>
      <w:r>
        <w:t xml:space="preserve">first </w:t>
      </w:r>
      <w:r w:rsidRPr="00285BB4">
        <w:t>at each</w:t>
      </w:r>
      <w:r>
        <w:t xml:space="preserve"> individual</w:t>
      </w:r>
      <w:r w:rsidRPr="00285BB4">
        <w:t xml:space="preserve"> </w:t>
      </w:r>
      <w:r>
        <w:t>DER asset</w:t>
      </w:r>
      <w:r w:rsidR="00E62AE5">
        <w:t xml:space="preserve"> via an appropriately integrated or directly connected meter</w:t>
      </w:r>
      <w:r>
        <w:t>, then aggregated up to the site,</w:t>
      </w:r>
      <w:r w:rsidRPr="00285BB4">
        <w:t xml:space="preserve"> and</w:t>
      </w:r>
      <w:r>
        <w:t xml:space="preserve"> </w:t>
      </w:r>
      <w:r w:rsidRPr="00285BB4">
        <w:t xml:space="preserve">then summed across all </w:t>
      </w:r>
      <w:r>
        <w:t>sites</w:t>
      </w:r>
      <w:r w:rsidDel="00447BC3">
        <w:t xml:space="preserve"> </w:t>
      </w:r>
      <w:r>
        <w:t>comprising the project (as applicable)</w:t>
      </w:r>
      <w:r w:rsidRPr="00285BB4">
        <w:t xml:space="preserve"> to determine </w:t>
      </w:r>
      <w:r>
        <w:t>overall</w:t>
      </w:r>
      <w:r w:rsidRPr="00285BB4">
        <w:t xml:space="preserve"> performance. </w:t>
      </w:r>
    </w:p>
    <w:p w14:paraId="5E6BEAC2" w14:textId="77777777" w:rsidR="00674AE1" w:rsidRDefault="00674AE1" w:rsidP="00366697">
      <w:r>
        <w:t>Applicants must provide details on the proposed methodology for measuring dispatch performance that is relevant and accurate for the technology type(s) being used. Please review the M&amp;V Plan (</w:t>
      </w:r>
      <w:r w:rsidRPr="00462922">
        <w:t>Attachment 10)</w:t>
      </w:r>
      <w:r>
        <w:t xml:space="preserve"> for more detailed instructions.  </w:t>
      </w:r>
    </w:p>
    <w:p w14:paraId="6D19FDC0" w14:textId="77777777" w:rsidR="00674AE1" w:rsidRPr="00447BC3" w:rsidRDefault="00674AE1" w:rsidP="00366697">
      <w:pPr>
        <w:rPr>
          <w:rStyle w:val="Strong"/>
          <w:b w:val="0"/>
          <w:bCs/>
        </w:rPr>
      </w:pPr>
      <w:r>
        <w:t>When applicable, A</w:t>
      </w:r>
      <w:r w:rsidRPr="00285BB4">
        <w:t xml:space="preserve">pplicants must document that the </w:t>
      </w:r>
      <w:r>
        <w:t>selected</w:t>
      </w:r>
      <w:r w:rsidRPr="00285BB4">
        <w:t xml:space="preserve"> counterfactual baseline approach </w:t>
      </w:r>
      <w:r>
        <w:t xml:space="preserve">to determine dispatch performance during the dispatch hours </w:t>
      </w:r>
      <w:r w:rsidRPr="00285BB4">
        <w:t>is the best method available</w:t>
      </w:r>
      <w:r w:rsidRPr="00285BB4">
        <w:rPr>
          <w:vertAlign w:val="superscript"/>
        </w:rPr>
        <w:footnoteReference w:id="15"/>
      </w:r>
      <w:r w:rsidRPr="00285BB4">
        <w:t xml:space="preserve"> </w:t>
      </w:r>
      <w:r>
        <w:t xml:space="preserve">and </w:t>
      </w:r>
      <w:r w:rsidRPr="00285BB4">
        <w:t>include additional details such as same-day adjustments</w:t>
      </w:r>
      <w:r>
        <w:t>.</w:t>
      </w:r>
      <w:r w:rsidRPr="00285BB4">
        <w:t xml:space="preserve"> </w:t>
      </w:r>
      <w:r>
        <w:t xml:space="preserve">Subject to CEC staff approval, the counterfactual baseline approach may be changed following the execution of the grant agreement if a more accurate approach becomes available. </w:t>
      </w:r>
    </w:p>
    <w:p w14:paraId="19289076" w14:textId="77777777" w:rsidR="00674AE1" w:rsidRPr="00366697" w:rsidRDefault="00674AE1" w:rsidP="004605BE">
      <w:pPr>
        <w:pStyle w:val="Heading5"/>
        <w:numPr>
          <w:ilvl w:val="0"/>
          <w:numId w:val="70"/>
        </w:numPr>
        <w:ind w:left="1260" w:hanging="540"/>
      </w:pPr>
      <w:r w:rsidRPr="00757A6C">
        <w:lastRenderedPageBreak/>
        <w:t xml:space="preserve">Demonstrated Capacity </w:t>
      </w:r>
    </w:p>
    <w:p w14:paraId="4A043DE2" w14:textId="08C935B4" w:rsidR="008B55D6" w:rsidRDefault="00674AE1" w:rsidP="00366697">
      <w:r>
        <w:t xml:space="preserve">The annualized demonstrated capacity will be determined by the weighted average of </w:t>
      </w:r>
      <w:r w:rsidDel="002D2212">
        <w:t xml:space="preserve">measured </w:t>
      </w:r>
      <w:r>
        <w:t xml:space="preserve">hourly dispatch performance </w:t>
      </w:r>
      <w:r w:rsidR="0034510B">
        <w:t>across the Measurement Hours</w:t>
      </w:r>
      <w:r>
        <w:t xml:space="preserve">. </w:t>
      </w:r>
    </w:p>
    <w:p w14:paraId="443AACF3" w14:textId="3AAC10CC" w:rsidR="00674AE1" w:rsidRPr="00410ED6" w:rsidRDefault="00674AE1" w:rsidP="00366697">
      <w:r>
        <w:t>Non-weather-sensitive resources are assumed to include electric storage resources</w:t>
      </w:r>
      <w:r w:rsidR="009328B7">
        <w:t xml:space="preserve"> and DG</w:t>
      </w:r>
      <w:r>
        <w:t xml:space="preserve">, and weather-sensitive resources are assumed to include thermal energy storage and load flexibility resources, unless otherwise specified by the Applicant in the M&amp;V Plan. </w:t>
      </w:r>
    </w:p>
    <w:p w14:paraId="1A09B4F4" w14:textId="77777777" w:rsidR="00674AE1" w:rsidRPr="00BA3442" w:rsidRDefault="00674AE1" w:rsidP="00470E94">
      <w:pPr>
        <w:pStyle w:val="ListParagraph"/>
        <w:ind w:left="0"/>
        <w:rPr>
          <w:rStyle w:val="Strong"/>
          <w:i/>
          <w:u w:val="single"/>
        </w:rPr>
      </w:pPr>
      <w:r w:rsidRPr="00BA3442">
        <w:rPr>
          <w:rStyle w:val="Strong"/>
          <w:i/>
          <w:u w:val="single"/>
        </w:rPr>
        <w:t xml:space="preserve">Non-Weather-Sensitive Resources </w:t>
      </w:r>
    </w:p>
    <w:p w14:paraId="016FC3D8" w14:textId="1FB4FCC8" w:rsidR="00674AE1" w:rsidRPr="00410ED6" w:rsidRDefault="00674AE1" w:rsidP="00470E94">
      <w:r>
        <w:t>The annual</w:t>
      </w:r>
      <w:r w:rsidR="00B5437D">
        <w:t>ized</w:t>
      </w:r>
      <w:r>
        <w:t xml:space="preserve"> demonstrated capacity (DC) in the participation year (</w:t>
      </w:r>
      <w:r w:rsidRPr="723662D5">
        <w:rPr>
          <w:i/>
          <w:iCs/>
        </w:rPr>
        <w:t>y</w:t>
      </w:r>
      <w:r>
        <w:rPr>
          <w:i/>
          <w:iCs/>
        </w:rPr>
        <w:t>)</w:t>
      </w:r>
      <w:r>
        <w:t xml:space="preserve"> for a non-weather-sensitive resource is defined as the </w:t>
      </w:r>
      <w:r w:rsidR="003C7D89">
        <w:t xml:space="preserve">LMP </w:t>
      </w:r>
      <w:r>
        <w:t xml:space="preserve">weighted average of the </w:t>
      </w:r>
      <w:r w:rsidR="00C06072">
        <w:t xml:space="preserve">measured </w:t>
      </w:r>
      <w:r>
        <w:t>hourly dispatch performance</w:t>
      </w:r>
      <w:r w:rsidR="0047075A">
        <w:t xml:space="preserve"> </w:t>
      </w:r>
      <m:oMath>
        <m:sSub>
          <m:sSubPr>
            <m:ctrlPr>
              <w:rPr>
                <w:rFonts w:ascii="Cambria Math" w:hAnsi="Cambria Math"/>
              </w:rPr>
            </m:ctrlPr>
          </m:sSubPr>
          <m:e>
            <m:r>
              <w:rPr>
                <w:rFonts w:ascii="Cambria Math" w:hAnsi="Cambria Math"/>
              </w:rPr>
              <m:t>Performance</m:t>
            </m:r>
          </m:e>
          <m:sub>
            <m:r>
              <w:rPr>
                <w:rFonts w:ascii="Cambria Math" w:hAnsi="Cambria Math"/>
              </w:rPr>
              <m:t>h</m:t>
            </m:r>
          </m:sub>
        </m:sSub>
      </m:oMath>
      <w:r w:rsidR="00DF7DED">
        <w:t xml:space="preserve"> in hour </w:t>
      </w:r>
      <w:r w:rsidR="00DF7DED" w:rsidRPr="00872908">
        <w:rPr>
          <w:i/>
        </w:rPr>
        <w:t>h</w:t>
      </w:r>
      <w:r>
        <w:t xml:space="preserve">, where the weights in hour </w:t>
      </w:r>
      <w:r w:rsidRPr="723662D5">
        <w:rPr>
          <w:i/>
          <w:iCs/>
        </w:rPr>
        <w:t>h</w:t>
      </w:r>
      <w:r>
        <w:t xml:space="preserve"> are given by the product of the applicable hourly market price (</w:t>
      </w:r>
      <w:proofErr w:type="spellStart"/>
      <w:r w:rsidRPr="723662D5">
        <w:rPr>
          <w:i/>
          <w:iCs/>
        </w:rPr>
        <w:t>LMP</w:t>
      </w:r>
      <w:r w:rsidRPr="723662D5">
        <w:rPr>
          <w:i/>
          <w:iCs/>
          <w:vertAlign w:val="subscript"/>
        </w:rPr>
        <w:t>h</w:t>
      </w:r>
      <w:proofErr w:type="spellEnd"/>
      <w:r>
        <w:t>) and an hourly emergency event multiplier (</w:t>
      </w:r>
      <w:proofErr w:type="spellStart"/>
      <w:r w:rsidRPr="723662D5">
        <w:rPr>
          <w:i/>
          <w:iCs/>
        </w:rPr>
        <w:t>EEM</w:t>
      </w:r>
      <w:r w:rsidRPr="723662D5">
        <w:rPr>
          <w:i/>
          <w:iCs/>
          <w:vertAlign w:val="subscript"/>
        </w:rPr>
        <w:t>h</w:t>
      </w:r>
      <w:proofErr w:type="spellEnd"/>
      <w:r>
        <w:t xml:space="preserve">) across the </w:t>
      </w:r>
      <w:r w:rsidRPr="723662D5">
        <w:rPr>
          <w:i/>
          <w:iCs/>
        </w:rPr>
        <w:t xml:space="preserve">N </w:t>
      </w:r>
      <w:r>
        <w:t xml:space="preserve">Measurement Hours in participation year </w:t>
      </w:r>
      <w:r w:rsidRPr="723662D5">
        <w:rPr>
          <w:i/>
          <w:iCs/>
        </w:rPr>
        <w:t>y</w:t>
      </w:r>
      <w:r>
        <w:t>:</w:t>
      </w:r>
    </w:p>
    <w:p w14:paraId="37B8E8B8" w14:textId="77777777" w:rsidR="00674AE1" w:rsidRPr="00410ED6" w:rsidRDefault="00674AE1" w:rsidP="00674AE1">
      <w:pPr>
        <w:ind w:left="-180"/>
      </w:pPr>
    </w:p>
    <w:p w14:paraId="4BC4BDFA" w14:textId="77777777" w:rsidR="00674AE1" w:rsidRPr="00410ED6" w:rsidRDefault="00000000" w:rsidP="00674AE1">
      <w:pPr>
        <w:pStyle w:val="ListParagraph"/>
        <w:ind w:left="-180"/>
        <w:rPr>
          <w:iCs/>
        </w:rPr>
      </w:pPr>
      <m:oMathPara>
        <m:oMathParaPr>
          <m:jc m:val="center"/>
        </m:oMathParaPr>
        <m:oMath>
          <m:sSub>
            <m:sSubPr>
              <m:ctrlPr>
                <w:rPr>
                  <w:rFonts w:ascii="Cambria Math" w:hAnsi="Cambria Math"/>
                </w:rPr>
              </m:ctrlPr>
            </m:sSubPr>
            <m:e>
              <m:r>
                <w:rPr>
                  <w:rFonts w:ascii="Cambria Math" w:hAnsi="Cambria Math"/>
                </w:rPr>
                <m:t>DC</m:t>
              </m:r>
            </m:e>
            <m:sub>
              <m:r>
                <w:rPr>
                  <w:rFonts w:ascii="Cambria Math" w:hAnsi="Cambria Math"/>
                </w:rPr>
                <m:t>y</m:t>
              </m:r>
            </m:sub>
          </m:sSub>
          <m:r>
            <w:rPr>
              <w:rFonts w:ascii="Cambria Math" w:hAnsi="Cambria Math"/>
            </w:rPr>
            <m:t>=</m:t>
          </m:r>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h=1</m:t>
                  </m:r>
                </m:sub>
                <m:sup>
                  <m:r>
                    <w:rPr>
                      <w:rFonts w:ascii="Cambria Math" w:hAnsi="Cambria Math"/>
                    </w:rPr>
                    <m:t>N</m:t>
                  </m:r>
                </m:sup>
                <m:e>
                  <m:sSub>
                    <m:sSubPr>
                      <m:ctrlPr>
                        <w:rPr>
                          <w:rFonts w:ascii="Cambria Math" w:hAnsi="Cambria Math"/>
                        </w:rPr>
                      </m:ctrlPr>
                    </m:sSubPr>
                    <m:e>
                      <m:r>
                        <w:rPr>
                          <w:rFonts w:ascii="Cambria Math" w:hAnsi="Cambria Math"/>
                        </w:rPr>
                        <m:t>Performance</m:t>
                      </m:r>
                    </m:e>
                    <m:sub>
                      <m:r>
                        <w:rPr>
                          <w:rFonts w:ascii="Cambria Math" w:hAnsi="Cambria Math"/>
                        </w:rPr>
                        <m:t>h</m:t>
                      </m:r>
                    </m:sub>
                  </m:sSub>
                  <m:sSub>
                    <m:sSubPr>
                      <m:ctrlPr>
                        <w:rPr>
                          <w:rFonts w:ascii="Cambria Math" w:hAnsi="Cambria Math"/>
                        </w:rPr>
                      </m:ctrlPr>
                    </m:sSubPr>
                    <m:e>
                      <m:r>
                        <w:rPr>
                          <w:rFonts w:ascii="Cambria Math" w:hAnsi="Cambria Math"/>
                        </w:rPr>
                        <m:t>LMP</m:t>
                      </m:r>
                    </m:e>
                    <m:sub>
                      <m:r>
                        <w:rPr>
                          <w:rFonts w:ascii="Cambria Math" w:hAnsi="Cambria Math"/>
                        </w:rPr>
                        <m:t>h</m:t>
                      </m:r>
                    </m:sub>
                  </m:sSub>
                  <m:sSub>
                    <m:sSubPr>
                      <m:ctrlPr>
                        <w:rPr>
                          <w:rFonts w:ascii="Cambria Math" w:hAnsi="Cambria Math"/>
                        </w:rPr>
                      </m:ctrlPr>
                    </m:sSubPr>
                    <m:e>
                      <m:r>
                        <w:rPr>
                          <w:rFonts w:ascii="Cambria Math" w:hAnsi="Cambria Math"/>
                        </w:rPr>
                        <m:t>EEM</m:t>
                      </m:r>
                    </m:e>
                    <m:sub>
                      <m:r>
                        <w:rPr>
                          <w:rFonts w:ascii="Cambria Math" w:hAnsi="Cambria Math"/>
                        </w:rPr>
                        <m:t>h</m:t>
                      </m:r>
                    </m:sub>
                  </m:sSub>
                </m:e>
              </m:nary>
            </m:num>
            <m:den>
              <m:nary>
                <m:naryPr>
                  <m:chr m:val="∑"/>
                  <m:limLoc m:val="subSup"/>
                  <m:ctrlPr>
                    <w:rPr>
                      <w:rFonts w:ascii="Cambria Math" w:hAnsi="Cambria Math"/>
                    </w:rPr>
                  </m:ctrlPr>
                </m:naryPr>
                <m:sub>
                  <m:r>
                    <w:rPr>
                      <w:rFonts w:ascii="Cambria Math" w:hAnsi="Cambria Math"/>
                    </w:rPr>
                    <m:t>h=1</m:t>
                  </m:r>
                </m:sub>
                <m:sup>
                  <m:r>
                    <w:rPr>
                      <w:rFonts w:ascii="Cambria Math" w:hAnsi="Cambria Math"/>
                    </w:rPr>
                    <m:t>N</m:t>
                  </m:r>
                </m:sup>
                <m:e>
                  <m:sSub>
                    <m:sSubPr>
                      <m:ctrlPr>
                        <w:rPr>
                          <w:rFonts w:ascii="Cambria Math" w:hAnsi="Cambria Math"/>
                        </w:rPr>
                      </m:ctrlPr>
                    </m:sSubPr>
                    <m:e>
                      <m:r>
                        <w:rPr>
                          <w:rFonts w:ascii="Cambria Math" w:hAnsi="Cambria Math"/>
                        </w:rPr>
                        <m:t>LMP</m:t>
                      </m:r>
                    </m:e>
                    <m:sub>
                      <m:r>
                        <w:rPr>
                          <w:rFonts w:ascii="Cambria Math" w:hAnsi="Cambria Math"/>
                        </w:rPr>
                        <m:t>h</m:t>
                      </m:r>
                    </m:sub>
                  </m:sSub>
                  <m:sSub>
                    <m:sSubPr>
                      <m:ctrlPr>
                        <w:rPr>
                          <w:rFonts w:ascii="Cambria Math" w:hAnsi="Cambria Math"/>
                        </w:rPr>
                      </m:ctrlPr>
                    </m:sSubPr>
                    <m:e>
                      <m:r>
                        <w:rPr>
                          <w:rFonts w:ascii="Cambria Math" w:hAnsi="Cambria Math"/>
                        </w:rPr>
                        <m:t>EEM</m:t>
                      </m:r>
                    </m:e>
                    <m:sub>
                      <m:r>
                        <w:rPr>
                          <w:rFonts w:ascii="Cambria Math" w:hAnsi="Cambria Math"/>
                        </w:rPr>
                        <m:t>h</m:t>
                      </m:r>
                    </m:sub>
                  </m:sSub>
                </m:e>
              </m:nary>
              <m:r>
                <m:rPr>
                  <m:nor/>
                </m:rPr>
                <w:rPr>
                  <w:iCs/>
                </w:rPr>
                <m:t> </m:t>
              </m:r>
            </m:den>
          </m:f>
        </m:oMath>
      </m:oMathPara>
    </w:p>
    <w:p w14:paraId="55B8EAAC" w14:textId="77777777" w:rsidR="00674AE1" w:rsidRPr="00410ED6" w:rsidRDefault="00674AE1" w:rsidP="00674AE1">
      <w:pPr>
        <w:ind w:left="-180"/>
      </w:pPr>
    </w:p>
    <w:p w14:paraId="320FB3EF" w14:textId="77777777" w:rsidR="00674AE1" w:rsidRDefault="00674AE1" w:rsidP="00DA5E18">
      <w:r w:rsidRPr="00410ED6">
        <w:t xml:space="preserve">The hourly </w:t>
      </w:r>
      <w:proofErr w:type="spellStart"/>
      <w:r w:rsidRPr="00DF1FBC">
        <w:rPr>
          <w:i/>
          <w:iCs/>
        </w:rPr>
        <w:t>EEM</w:t>
      </w:r>
      <w:r w:rsidRPr="00DF1FBC">
        <w:rPr>
          <w:i/>
          <w:iCs/>
          <w:vertAlign w:val="subscript"/>
        </w:rPr>
        <w:t>h</w:t>
      </w:r>
      <w:proofErr w:type="spellEnd"/>
      <w:r w:rsidRPr="00410ED6">
        <w:t xml:space="preserve"> is defined as 2 if any part of the hour </w:t>
      </w:r>
      <w:r w:rsidRPr="00410ED6">
        <w:rPr>
          <w:i/>
          <w:iCs/>
        </w:rPr>
        <w:t>h</w:t>
      </w:r>
      <w:r w:rsidRPr="00410ED6">
        <w:t xml:space="preserve"> is subject to an EEA or EEA Watch, and 1 otherwise.</w:t>
      </w:r>
    </w:p>
    <w:p w14:paraId="1F769D6F" w14:textId="1419BA39" w:rsidR="00674AE1" w:rsidRPr="00410ED6" w:rsidRDefault="00674AE1" w:rsidP="00DA5E18">
      <w:r>
        <w:t xml:space="preserve">The hourly </w:t>
      </w:r>
      <m:oMath>
        <m:sSub>
          <m:sSubPr>
            <m:ctrlPr>
              <w:rPr>
                <w:rFonts w:ascii="Cambria Math" w:hAnsi="Cambria Math"/>
              </w:rPr>
            </m:ctrlPr>
          </m:sSubPr>
          <m:e>
            <m:r>
              <w:rPr>
                <w:rFonts w:ascii="Cambria Math" w:hAnsi="Cambria Math"/>
              </w:rPr>
              <m:t>Performance</m:t>
            </m:r>
          </m:e>
          <m:sub>
            <m:r>
              <w:rPr>
                <w:rFonts w:ascii="Cambria Math" w:hAnsi="Cambria Math"/>
              </w:rPr>
              <m:t>h</m:t>
            </m:r>
          </m:sub>
        </m:sSub>
      </m:oMath>
      <w:r w:rsidRPr="00410ED6">
        <w:t xml:space="preserve"> </w:t>
      </w:r>
      <w:r>
        <w:t xml:space="preserve">is defined by the Applicant as appropriate for the proposed project to represent the power output or load reduction/shift achieved by a project during the dispatch hour </w:t>
      </w:r>
      <w:r w:rsidRPr="723662D5">
        <w:rPr>
          <w:i/>
          <w:iCs/>
        </w:rPr>
        <w:t>h</w:t>
      </w:r>
      <w:r>
        <w:t>.</w:t>
      </w:r>
    </w:p>
    <w:p w14:paraId="4A8BFA58" w14:textId="766CCC6D" w:rsidR="005F275E" w:rsidRPr="00410ED6" w:rsidRDefault="00B66A12" w:rsidP="00DA5E18">
      <w:r w:rsidRPr="00B66A12">
        <w:t xml:space="preserve">Applicants for projects not located in the California ISO area </w:t>
      </w:r>
      <w:r w:rsidR="00886676">
        <w:t>must</w:t>
      </w:r>
      <w:r w:rsidRPr="00B66A12">
        <w:t xml:space="preserve"> work with the host BA to determine </w:t>
      </w:r>
      <w:r w:rsidR="00E9294F">
        <w:t xml:space="preserve">an alternative </w:t>
      </w:r>
      <w:r w:rsidR="00693249">
        <w:t xml:space="preserve">weighting factor </w:t>
      </w:r>
      <w:r w:rsidR="00572FA0">
        <w:t>in place of</w:t>
      </w:r>
      <w:r w:rsidR="00693249">
        <w:t xml:space="preserve"> LMP</w:t>
      </w:r>
      <w:r w:rsidR="00242694">
        <w:t>, such as</w:t>
      </w:r>
      <w:r w:rsidR="00183032">
        <w:t xml:space="preserve"> the hourly</w:t>
      </w:r>
      <w:r w:rsidR="00242694">
        <w:t xml:space="preserve"> </w:t>
      </w:r>
      <w:r w:rsidR="000F7AA0" w:rsidRPr="000F7AA0">
        <w:t>load (or net load)</w:t>
      </w:r>
      <w:r w:rsidR="00183032">
        <w:t>.</w:t>
      </w:r>
    </w:p>
    <w:p w14:paraId="24827B5A" w14:textId="752F20FE" w:rsidR="00674AE1" w:rsidRPr="00DA5E18" w:rsidRDefault="00674AE1" w:rsidP="00DA5E18">
      <w:pPr>
        <w:keepNext/>
        <w:rPr>
          <w:rStyle w:val="Strong"/>
          <w:i/>
          <w:u w:val="single"/>
        </w:rPr>
      </w:pPr>
      <w:r w:rsidRPr="00DA5E18">
        <w:rPr>
          <w:rStyle w:val="Strong"/>
          <w:i/>
          <w:u w:val="single"/>
        </w:rPr>
        <w:t xml:space="preserve">Weather-Sensitive Resources </w:t>
      </w:r>
    </w:p>
    <w:p w14:paraId="14C38AE8" w14:textId="0E4D72EE" w:rsidR="009A1EBD" w:rsidRPr="00F7791F" w:rsidRDefault="00674AE1" w:rsidP="008B6267">
      <w:r>
        <w:t>The annual</w:t>
      </w:r>
      <w:r w:rsidR="00B5437D">
        <w:t>ized</w:t>
      </w:r>
      <w:r>
        <w:t xml:space="preserve"> demonstrated capacity</w:t>
      </w:r>
      <w:r w:rsidR="0084706B">
        <w:t xml:space="preserve"> </w:t>
      </w:r>
      <w:r w:rsidR="00F20F48">
        <w:t>calculation</w:t>
      </w:r>
      <w:r>
        <w:t xml:space="preserve"> for weather-sensitive resources </w:t>
      </w:r>
      <w:r w:rsidR="001A4A14">
        <w:t>will</w:t>
      </w:r>
      <w:r w:rsidR="001D1A25">
        <w:t xml:space="preserve"> utilize the same weighting formula as above (using the same hourly market price (LMP) and hourly EEM weights as </w:t>
      </w:r>
      <w:r w:rsidR="0003387F">
        <w:t xml:space="preserve">above) </w:t>
      </w:r>
      <w:r w:rsidR="008A1AAC">
        <w:t xml:space="preserve">across the </w:t>
      </w:r>
      <w:r w:rsidR="008A1AAC" w:rsidRPr="723662D5">
        <w:rPr>
          <w:i/>
          <w:iCs/>
        </w:rPr>
        <w:t xml:space="preserve">N </w:t>
      </w:r>
      <w:r w:rsidR="008A1AAC">
        <w:t xml:space="preserve">Measurement Hours in participation year </w:t>
      </w:r>
      <w:r w:rsidR="008A1AAC" w:rsidRPr="723662D5">
        <w:rPr>
          <w:i/>
          <w:iCs/>
        </w:rPr>
        <w:t>y</w:t>
      </w:r>
      <w:r w:rsidR="00F94A31">
        <w:t xml:space="preserve">. </w:t>
      </w:r>
      <w:r w:rsidR="00A67A44">
        <w:t>The hourly</w:t>
      </w:r>
      <w:r w:rsidR="00EE4AC2">
        <w:t xml:space="preserve"> performance</w:t>
      </w:r>
      <w:r>
        <w:t xml:space="preserve"> </w:t>
      </w:r>
      <w:r w:rsidR="00A42D19">
        <w:t xml:space="preserve">used in the calculation </w:t>
      </w:r>
      <w:r w:rsidR="00767491">
        <w:t>will</w:t>
      </w:r>
      <w:r w:rsidR="00A42D19">
        <w:t xml:space="preserve"> be </w:t>
      </w:r>
      <w:r w:rsidR="001E5679">
        <w:t>the adjusted performance level</w:t>
      </w:r>
      <w:r w:rsidR="000D2E78">
        <w:t xml:space="preserve"> </w:t>
      </w:r>
      <m:oMath>
        <m:sSub>
          <m:sSubPr>
            <m:ctrlPr>
              <w:rPr>
                <w:rFonts w:ascii="Cambria Math" w:hAnsi="Cambria Math" w:cs="Tahoma"/>
              </w:rPr>
            </m:ctrlPr>
          </m:sSubPr>
          <m:e>
            <m:r>
              <w:rPr>
                <w:rFonts w:ascii="Cambria Math" w:hAnsi="Cambria Math" w:cs="Tahoma"/>
              </w:rPr>
              <m:t>APerformance</m:t>
            </m:r>
          </m:e>
          <m:sub>
            <m:r>
              <w:rPr>
                <w:rFonts w:ascii="Cambria Math" w:hAnsi="Cambria Math" w:cs="Tahoma"/>
              </w:rPr>
              <m:t>h</m:t>
            </m:r>
          </m:sub>
        </m:sSub>
        <m:r>
          <w:rPr>
            <w:rFonts w:ascii="Cambria Math" w:hAnsi="Cambria Math" w:cs="Tahoma"/>
          </w:rPr>
          <m:t xml:space="preserve"> </m:t>
        </m:r>
      </m:oMath>
      <w:r w:rsidR="000D2E78">
        <w:t>at T</w:t>
      </w:r>
      <w:r w:rsidR="000D2E78" w:rsidRPr="00F7791F">
        <w:rPr>
          <w:i/>
          <w:iCs/>
          <w:vertAlign w:val="subscript"/>
        </w:rPr>
        <w:t>Plan</w:t>
      </w:r>
      <w:r w:rsidR="000D2E78">
        <w:t xml:space="preserve"> </w:t>
      </w:r>
      <w:r w:rsidR="002E132C">
        <w:t xml:space="preserve">that is </w:t>
      </w:r>
      <w:r w:rsidR="000D2E78">
        <w:t>comp</w:t>
      </w:r>
      <w:r w:rsidR="001C5750">
        <w:t xml:space="preserve">uted by applying </w:t>
      </w:r>
      <w:r w:rsidR="000D2E78">
        <w:t>the temperature-dependent capacity-scaling formula (</w:t>
      </w:r>
      <w:r w:rsidR="007557A1">
        <w:t>described in</w:t>
      </w:r>
      <w:r w:rsidR="000D2E78">
        <w:t xml:space="preserve"> II.B.4.a)</w:t>
      </w:r>
      <w:r w:rsidR="00A42D19">
        <w:t xml:space="preserve"> to </w:t>
      </w:r>
      <w:r w:rsidR="00B96CF3">
        <w:t xml:space="preserve">the </w:t>
      </w:r>
      <w:r w:rsidR="00A42D19">
        <w:t xml:space="preserve">measured </w:t>
      </w:r>
      <m:oMath>
        <m:sSub>
          <m:sSubPr>
            <m:ctrlPr>
              <w:rPr>
                <w:rFonts w:ascii="Cambria Math" w:hAnsi="Cambria Math" w:cs="Tahoma"/>
              </w:rPr>
            </m:ctrlPr>
          </m:sSubPr>
          <m:e>
            <m:r>
              <w:rPr>
                <w:rFonts w:ascii="Cambria Math" w:hAnsi="Cambria Math" w:cs="Tahoma"/>
              </w:rPr>
              <m:t>Performance</m:t>
            </m:r>
          </m:e>
          <m:sub>
            <m:r>
              <w:rPr>
                <w:rFonts w:ascii="Cambria Math" w:hAnsi="Cambria Math" w:cs="Tahoma"/>
              </w:rPr>
              <m:t>h</m:t>
            </m:r>
          </m:sub>
        </m:sSub>
      </m:oMath>
      <w:r w:rsidR="00044296">
        <w:t>, as shown below</w:t>
      </w:r>
      <w:r w:rsidR="00A46AD8">
        <w:t>.</w:t>
      </w:r>
    </w:p>
    <w:p w14:paraId="3DAA147C" w14:textId="3D147007" w:rsidR="00D15EBD" w:rsidRDefault="00000000" w:rsidP="00F7791F">
      <w:pPr>
        <w:pStyle w:val="ListParagraph"/>
        <w:ind w:left="-180"/>
      </w:pPr>
      <m:oMathPara>
        <m:oMath>
          <m:sSub>
            <m:sSubPr>
              <m:ctrlPr>
                <w:rPr>
                  <w:rFonts w:ascii="Cambria Math" w:hAnsi="Cambria Math"/>
                </w:rPr>
              </m:ctrlPr>
            </m:sSubPr>
            <m:e>
              <m:r>
                <w:rPr>
                  <w:rFonts w:ascii="Cambria Math" w:hAnsi="Cambria Math"/>
                </w:rPr>
                <m:t>DC</m:t>
              </m:r>
            </m:e>
            <m:sub>
              <m:r>
                <w:rPr>
                  <w:rFonts w:ascii="Cambria Math" w:hAnsi="Cambria Math"/>
                </w:rPr>
                <m:t>y</m:t>
              </m:r>
            </m:sub>
          </m:sSub>
          <m:r>
            <w:rPr>
              <w:rFonts w:ascii="Cambria Math" w:hAnsi="Cambria Math"/>
            </w:rPr>
            <m:t>=</m:t>
          </m:r>
          <m:f>
            <m:fPr>
              <m:ctrlPr>
                <w:rPr>
                  <w:rFonts w:ascii="Cambria Math" w:hAnsi="Cambria Math"/>
                </w:rPr>
              </m:ctrlPr>
            </m:fPr>
            <m:num>
              <m:nary>
                <m:naryPr>
                  <m:chr m:val="∑"/>
                  <m:limLoc m:val="subSup"/>
                  <m:ctrlPr>
                    <w:rPr>
                      <w:rFonts w:ascii="Cambria Math" w:hAnsi="Cambria Math"/>
                    </w:rPr>
                  </m:ctrlPr>
                </m:naryPr>
                <m:sub>
                  <m:r>
                    <w:rPr>
                      <w:rFonts w:ascii="Cambria Math" w:hAnsi="Cambria Math"/>
                    </w:rPr>
                    <m:t>h=1</m:t>
                  </m:r>
                </m:sub>
                <m:sup>
                  <m:r>
                    <w:rPr>
                      <w:rFonts w:ascii="Cambria Math" w:hAnsi="Cambria Math"/>
                    </w:rPr>
                    <m:t>N</m:t>
                  </m:r>
                </m:sup>
                <m:e>
                  <m:sSub>
                    <m:sSubPr>
                      <m:ctrlPr>
                        <w:rPr>
                          <w:rFonts w:ascii="Cambria Math" w:hAnsi="Cambria Math"/>
                        </w:rPr>
                      </m:ctrlPr>
                    </m:sSubPr>
                    <m:e>
                      <m:r>
                        <w:rPr>
                          <w:rFonts w:ascii="Cambria Math" w:hAnsi="Cambria Math"/>
                        </w:rPr>
                        <m:t>APerformance</m:t>
                      </m:r>
                    </m:e>
                    <m:sub>
                      <m:r>
                        <w:rPr>
                          <w:rFonts w:ascii="Cambria Math" w:hAnsi="Cambria Math"/>
                        </w:rPr>
                        <m:t>h</m:t>
                      </m:r>
                    </m:sub>
                  </m:sSub>
                  <m:sSub>
                    <m:sSubPr>
                      <m:ctrlPr>
                        <w:rPr>
                          <w:rFonts w:ascii="Cambria Math" w:hAnsi="Cambria Math"/>
                        </w:rPr>
                      </m:ctrlPr>
                    </m:sSubPr>
                    <m:e>
                      <m:r>
                        <w:rPr>
                          <w:rFonts w:ascii="Cambria Math" w:hAnsi="Cambria Math"/>
                        </w:rPr>
                        <m:t>LMP</m:t>
                      </m:r>
                    </m:e>
                    <m:sub>
                      <m:r>
                        <w:rPr>
                          <w:rFonts w:ascii="Cambria Math" w:hAnsi="Cambria Math"/>
                        </w:rPr>
                        <m:t>h</m:t>
                      </m:r>
                    </m:sub>
                  </m:sSub>
                  <m:sSub>
                    <m:sSubPr>
                      <m:ctrlPr>
                        <w:rPr>
                          <w:rFonts w:ascii="Cambria Math" w:hAnsi="Cambria Math"/>
                        </w:rPr>
                      </m:ctrlPr>
                    </m:sSubPr>
                    <m:e>
                      <m:r>
                        <w:rPr>
                          <w:rFonts w:ascii="Cambria Math" w:hAnsi="Cambria Math"/>
                        </w:rPr>
                        <m:t>EEM</m:t>
                      </m:r>
                    </m:e>
                    <m:sub>
                      <m:r>
                        <w:rPr>
                          <w:rFonts w:ascii="Cambria Math" w:hAnsi="Cambria Math"/>
                        </w:rPr>
                        <m:t>h</m:t>
                      </m:r>
                    </m:sub>
                  </m:sSub>
                </m:e>
              </m:nary>
            </m:num>
            <m:den>
              <m:nary>
                <m:naryPr>
                  <m:chr m:val="∑"/>
                  <m:limLoc m:val="subSup"/>
                  <m:ctrlPr>
                    <w:rPr>
                      <w:rFonts w:ascii="Cambria Math" w:hAnsi="Cambria Math"/>
                    </w:rPr>
                  </m:ctrlPr>
                </m:naryPr>
                <m:sub>
                  <m:r>
                    <w:rPr>
                      <w:rFonts w:ascii="Cambria Math" w:hAnsi="Cambria Math"/>
                    </w:rPr>
                    <m:t>h=1</m:t>
                  </m:r>
                </m:sub>
                <m:sup>
                  <m:r>
                    <w:rPr>
                      <w:rFonts w:ascii="Cambria Math" w:hAnsi="Cambria Math"/>
                    </w:rPr>
                    <m:t>N</m:t>
                  </m:r>
                </m:sup>
                <m:e>
                  <m:sSub>
                    <m:sSubPr>
                      <m:ctrlPr>
                        <w:rPr>
                          <w:rFonts w:ascii="Cambria Math" w:hAnsi="Cambria Math"/>
                        </w:rPr>
                      </m:ctrlPr>
                    </m:sSubPr>
                    <m:e>
                      <m:r>
                        <w:rPr>
                          <w:rFonts w:ascii="Cambria Math" w:hAnsi="Cambria Math"/>
                        </w:rPr>
                        <m:t>LMP</m:t>
                      </m:r>
                    </m:e>
                    <m:sub>
                      <m:r>
                        <w:rPr>
                          <w:rFonts w:ascii="Cambria Math" w:hAnsi="Cambria Math"/>
                        </w:rPr>
                        <m:t>h</m:t>
                      </m:r>
                    </m:sub>
                  </m:sSub>
                  <m:sSub>
                    <m:sSubPr>
                      <m:ctrlPr>
                        <w:rPr>
                          <w:rFonts w:ascii="Cambria Math" w:hAnsi="Cambria Math"/>
                        </w:rPr>
                      </m:ctrlPr>
                    </m:sSubPr>
                    <m:e>
                      <m:r>
                        <w:rPr>
                          <w:rFonts w:ascii="Cambria Math" w:hAnsi="Cambria Math"/>
                        </w:rPr>
                        <m:t>EEM</m:t>
                      </m:r>
                    </m:e>
                    <m:sub>
                      <m:r>
                        <w:rPr>
                          <w:rFonts w:ascii="Cambria Math" w:hAnsi="Cambria Math"/>
                        </w:rPr>
                        <m:t>h</m:t>
                      </m:r>
                    </m:sub>
                  </m:sSub>
                </m:e>
              </m:nary>
              <m:r>
                <m:rPr>
                  <m:nor/>
                </m:rPr>
                <w:rPr>
                  <w:iCs/>
                </w:rPr>
                <m:t> </m:t>
              </m:r>
            </m:den>
          </m:f>
        </m:oMath>
      </m:oMathPara>
    </w:p>
    <w:p w14:paraId="74BC5661" w14:textId="2B6A7C22" w:rsidR="006E622F" w:rsidRDefault="006E622F" w:rsidP="00DA5E18"/>
    <w:p w14:paraId="3CC2DEDF" w14:textId="6F99A784" w:rsidR="00674AE1" w:rsidRDefault="00674AE1" w:rsidP="00DA5E18">
      <w:r>
        <w:lastRenderedPageBreak/>
        <w:t xml:space="preserve">Applicants with temperature-dependent demonstrated capacity values must submit additional details including weather data sources, change points, temperature metrics related to the program hours (for example, daily high or daily average), methodology for determining the planning temperature, or a subset of these as appropriate. </w:t>
      </w:r>
    </w:p>
    <w:p w14:paraId="5BA194B1" w14:textId="4C0246C0" w:rsidR="00F159B6" w:rsidRDefault="00F159B6" w:rsidP="00DA5E18">
      <w:r w:rsidRPr="00B66A12">
        <w:t xml:space="preserve">Applicants for projects not located in the California ISO area </w:t>
      </w:r>
      <w:r>
        <w:t>must</w:t>
      </w:r>
      <w:r w:rsidRPr="00B66A12">
        <w:t xml:space="preserve"> work with the host BA to determine </w:t>
      </w:r>
      <w:r>
        <w:t xml:space="preserve">an alternative weighting factor in place of LMP, such as the hourly </w:t>
      </w:r>
      <w:r w:rsidRPr="000F7AA0">
        <w:t>load (or net load)</w:t>
      </w:r>
      <w:r>
        <w:t>.</w:t>
      </w:r>
    </w:p>
    <w:p w14:paraId="1AECED2D" w14:textId="77777777" w:rsidR="00674AE1" w:rsidRDefault="00674AE1" w:rsidP="00674AE1">
      <w:pPr>
        <w:pStyle w:val="Heading4"/>
        <w:numPr>
          <w:ilvl w:val="0"/>
          <w:numId w:val="59"/>
        </w:numPr>
        <w:tabs>
          <w:tab w:val="num" w:pos="360"/>
        </w:tabs>
        <w:ind w:left="0" w:firstLine="0"/>
      </w:pPr>
      <w:bookmarkStart w:id="141" w:name="_Toc243558529"/>
      <w:r>
        <w:t>Reporting Requirements</w:t>
      </w:r>
      <w:bookmarkEnd w:id="141"/>
    </w:p>
    <w:p w14:paraId="0E539ADD" w14:textId="77777777" w:rsidR="00674AE1" w:rsidRDefault="00674AE1" w:rsidP="00674AE1">
      <w:r w:rsidRPr="002A32F1">
        <w:t xml:space="preserve">Please </w:t>
      </w:r>
      <w:r>
        <w:t>review the</w:t>
      </w:r>
      <w:r w:rsidRPr="002A32F1">
        <w:t xml:space="preserve"> </w:t>
      </w:r>
      <w:r>
        <w:t xml:space="preserve">M&amp;V </w:t>
      </w:r>
      <w:r w:rsidRPr="00AF3F57">
        <w:t>Plan (Attachment 10) for</w:t>
      </w:r>
      <w:r w:rsidRPr="002A32F1">
        <w:t xml:space="preserve"> detailed instructions on </w:t>
      </w:r>
      <w:r>
        <w:t>required</w:t>
      </w:r>
      <w:r w:rsidRPr="002A32F1">
        <w:t xml:space="preserve"> M</w:t>
      </w:r>
      <w:r>
        <w:t xml:space="preserve">easurement </w:t>
      </w:r>
      <w:r w:rsidRPr="002A32F1">
        <w:t>&amp;</w:t>
      </w:r>
      <w:r>
        <w:t xml:space="preserve"> </w:t>
      </w:r>
      <w:r w:rsidRPr="002A32F1">
        <w:t>V</w:t>
      </w:r>
      <w:r>
        <w:t>erification</w:t>
      </w:r>
      <w:r w:rsidRPr="002A32F1">
        <w:t xml:space="preserve"> data to</w:t>
      </w:r>
      <w:r>
        <w:t xml:space="preserve"> be</w:t>
      </w:r>
      <w:r w:rsidRPr="002A32F1">
        <w:t xml:space="preserve"> collect</w:t>
      </w:r>
      <w:r>
        <w:t>ed</w:t>
      </w:r>
      <w:r w:rsidRPr="002A32F1">
        <w:t xml:space="preserve"> and report</w:t>
      </w:r>
      <w:r>
        <w:t>ed</w:t>
      </w:r>
      <w:r w:rsidRPr="002A32F1">
        <w:t xml:space="preserve"> on.</w:t>
      </w:r>
    </w:p>
    <w:p w14:paraId="3868B6A6" w14:textId="0FEF1E85" w:rsidR="00674AE1" w:rsidRDefault="00674AE1" w:rsidP="00674AE1">
      <w:r>
        <w:t>Please review the Scope of Work (Attachment 04) for detailed instructions on the following required reports that awarded recipients must d</w:t>
      </w:r>
      <w:r w:rsidRPr="00002B81">
        <w:t>evelop and submit</w:t>
      </w:r>
      <w:r>
        <w:t>:</w:t>
      </w:r>
    </w:p>
    <w:p w14:paraId="390D607B" w14:textId="0A1A4E0D" w:rsidR="005F61FB" w:rsidRDefault="005F61FB" w:rsidP="00674AE1">
      <w:pPr>
        <w:numPr>
          <w:ilvl w:val="0"/>
          <w:numId w:val="52"/>
        </w:numPr>
      </w:pPr>
      <w:r>
        <w:t>Monthly</w:t>
      </w:r>
      <w:r w:rsidR="0070111E">
        <w:t xml:space="preserve"> status updates</w:t>
      </w:r>
      <w:r w:rsidR="00CD4E9E">
        <w:t xml:space="preserve"> with </w:t>
      </w:r>
      <w:r w:rsidR="0070111E">
        <w:t>applicable performance data</w:t>
      </w:r>
    </w:p>
    <w:p w14:paraId="2433D825" w14:textId="38CCDD8A" w:rsidR="00674AE1" w:rsidRPr="00A407B7" w:rsidRDefault="00FC688E" w:rsidP="00674AE1">
      <w:pPr>
        <w:numPr>
          <w:ilvl w:val="0"/>
          <w:numId w:val="52"/>
        </w:numPr>
      </w:pPr>
      <w:r>
        <w:t xml:space="preserve">Quarterly </w:t>
      </w:r>
      <w:r w:rsidR="00674AE1" w:rsidRPr="00A407B7">
        <w:t xml:space="preserve">Progress </w:t>
      </w:r>
      <w:r w:rsidR="00674AE1" w:rsidRPr="00F61FBC">
        <w:t>Reports</w:t>
      </w:r>
      <w:r w:rsidR="00674AE1" w:rsidRPr="00A407B7">
        <w:t xml:space="preserve"> on </w:t>
      </w:r>
      <w:r w:rsidR="00674AE1">
        <w:t>site(s)</w:t>
      </w:r>
      <w:r w:rsidR="00674AE1" w:rsidRPr="00A407B7">
        <w:t xml:space="preserve"> construction, operations, and performance</w:t>
      </w:r>
      <w:r w:rsidR="00674AE1">
        <w:t>, as well as any direct and meaningful benefits provided to Vulnerable Populations or (Severely) Disadvantaged Communities</w:t>
      </w:r>
    </w:p>
    <w:p w14:paraId="4C8D555B" w14:textId="3810D058" w:rsidR="00FD1BB3" w:rsidRDefault="004F4F39" w:rsidP="00674AE1">
      <w:pPr>
        <w:numPr>
          <w:ilvl w:val="0"/>
          <w:numId w:val="52"/>
        </w:numPr>
      </w:pPr>
      <w:r>
        <w:t>Annual M&amp;V Report</w:t>
      </w:r>
      <w:r w:rsidR="008B25FA">
        <w:t>s</w:t>
      </w:r>
      <w:r>
        <w:t xml:space="preserve"> consistent with the M&amp;V Plan approved by the CAM</w:t>
      </w:r>
    </w:p>
    <w:p w14:paraId="30DCE800" w14:textId="0AD7F0FF" w:rsidR="00B51CFA" w:rsidRDefault="00B51CFA" w:rsidP="00674AE1">
      <w:pPr>
        <w:numPr>
          <w:ilvl w:val="0"/>
          <w:numId w:val="52"/>
        </w:numPr>
      </w:pPr>
      <w:r w:rsidRPr="00B51CFA">
        <w:t>Evaluation of Project Benefits</w:t>
      </w:r>
    </w:p>
    <w:p w14:paraId="1D86237A" w14:textId="13DEE185" w:rsidR="00360535" w:rsidRDefault="00360535" w:rsidP="00360535">
      <w:pPr>
        <w:numPr>
          <w:ilvl w:val="1"/>
          <w:numId w:val="52"/>
        </w:numPr>
      </w:pPr>
      <w:r>
        <w:t>Project Benefits Questionnaire</w:t>
      </w:r>
    </w:p>
    <w:p w14:paraId="6BD32E69" w14:textId="61B0B4BB" w:rsidR="00360535" w:rsidRDefault="00360535" w:rsidP="007E737B">
      <w:pPr>
        <w:numPr>
          <w:ilvl w:val="1"/>
          <w:numId w:val="52"/>
        </w:numPr>
        <w:contextualSpacing/>
      </w:pPr>
      <w:r w:rsidRPr="002A32F1">
        <w:t xml:space="preserve">Annual Evaluation of </w:t>
      </w:r>
      <w:r>
        <w:t>Project Pe</w:t>
      </w:r>
      <w:r w:rsidRPr="002A32F1">
        <w:t>rformance Report</w:t>
      </w:r>
      <w:r w:rsidRPr="00F61FBC">
        <w:t xml:space="preserve"> </w:t>
      </w:r>
      <w:r>
        <w:t xml:space="preserve">for each program season </w:t>
      </w:r>
      <w:r w:rsidRPr="00002B81">
        <w:t xml:space="preserve">that the </w:t>
      </w:r>
      <w:r>
        <w:t>asset(s)</w:t>
      </w:r>
      <w:r w:rsidRPr="00002B81">
        <w:t xml:space="preserve"> participate in </w:t>
      </w:r>
      <w:r>
        <w:t>the</w:t>
      </w:r>
      <w:r w:rsidRPr="00002B81">
        <w:t xml:space="preserve"> DEBA Program.</w:t>
      </w:r>
    </w:p>
    <w:p w14:paraId="05B792EE" w14:textId="78159C81" w:rsidR="00674AE1" w:rsidRPr="002A32F1" w:rsidRDefault="00674AE1" w:rsidP="00674AE1">
      <w:pPr>
        <w:numPr>
          <w:ilvl w:val="0"/>
          <w:numId w:val="52"/>
        </w:numPr>
      </w:pPr>
      <w:r>
        <w:t>Final Report at the conclusion of the agreement term</w:t>
      </w:r>
    </w:p>
    <w:p w14:paraId="6E8C5C65" w14:textId="07ABEE2A" w:rsidR="00674AE1" w:rsidRDefault="00674AE1" w:rsidP="00674AE1">
      <w:r w:rsidRPr="004A5AC5">
        <w:t xml:space="preserve">If applicable, </w:t>
      </w:r>
      <w:r>
        <w:t xml:space="preserve">projects will be required to submit </w:t>
      </w:r>
      <w:r w:rsidRPr="004A5AC5">
        <w:t>verification of compliance with regulations adopted pursuant to Part 2 (commencing with Section 38530) of, and Part 5 (commencing with Section 38570) of, the California Global Warming Solutions Act of 2006 (Division 25.5 (commencing with Section 38500) of the Health and Safety Code), including, but not limited to, the mandatory reporting of emissions of greenhouse gases and market-based compliance mechanism</w:t>
      </w:r>
      <w:r>
        <w:t xml:space="preserve"> as part of their Annual Evaluation of Project Performance Report</w:t>
      </w:r>
      <w:r w:rsidRPr="004A5AC5">
        <w:t>.</w:t>
      </w:r>
      <w:r>
        <w:t xml:space="preserve"> </w:t>
      </w:r>
    </w:p>
    <w:p w14:paraId="19C187C7" w14:textId="21892F9F" w:rsidR="00674AE1" w:rsidRDefault="00674AE1" w:rsidP="00674AE1">
      <w:r>
        <w:t xml:space="preserve">Due to the limited time available for project operations under the statutory liquidation deadline (June 30, 2030) and the need for CEC to collect performance data on state-funded projects, awarded projects will be required to continue all tasks required for </w:t>
      </w:r>
      <w:r w:rsidRPr="00F60FC2">
        <w:t>the satisfactory performance of th</w:t>
      </w:r>
      <w:r>
        <w:t>e agreement beyond the liquidation deadline. These tasks include, but are not limited to, monthly performance data reporting, regular meetings with CEC staff, and submission of Annual Evaluation of Project Performance Reports to the CEC, for a minimum of three program seasons after the project online date, defined as the date the project is considered active and operational consistent with the selected performance pathway. The Recipient shall notify the CEC, in writing, of the project online date</w:t>
      </w:r>
      <w:r w:rsidR="00BF25BD">
        <w:t xml:space="preserve"> which must occur prior to March 31, 2030</w:t>
      </w:r>
      <w:r>
        <w:t>.</w:t>
      </w:r>
    </w:p>
    <w:p w14:paraId="53348856" w14:textId="77777777" w:rsidR="00583311" w:rsidRDefault="00674AE1" w:rsidP="00583311">
      <w:r>
        <w:lastRenderedPageBreak/>
        <w:t xml:space="preserve">Note that </w:t>
      </w:r>
      <w:r>
        <w:rPr>
          <w:szCs w:val="22"/>
        </w:rPr>
        <w:t>n</w:t>
      </w:r>
      <w:r w:rsidRPr="27F9579F">
        <w:rPr>
          <w:szCs w:val="22"/>
        </w:rPr>
        <w:t xml:space="preserve">o tasks completed after </w:t>
      </w:r>
      <w:r>
        <w:rPr>
          <w:szCs w:val="22"/>
        </w:rPr>
        <w:t>March</w:t>
      </w:r>
      <w:r w:rsidRPr="27F9579F">
        <w:rPr>
          <w:szCs w:val="22"/>
        </w:rPr>
        <w:t xml:space="preserve"> 3</w:t>
      </w:r>
      <w:r>
        <w:rPr>
          <w:szCs w:val="22"/>
        </w:rPr>
        <w:t>1</w:t>
      </w:r>
      <w:r w:rsidRPr="27F9579F">
        <w:rPr>
          <w:szCs w:val="22"/>
        </w:rPr>
        <w:t>, 2030, shall be reimbursed by CEC funds</w:t>
      </w:r>
      <w:r>
        <w:rPr>
          <w:szCs w:val="22"/>
        </w:rPr>
        <w:t xml:space="preserve"> (see Section I.E.2 “Award Funding and Disbursement Process” for details)</w:t>
      </w:r>
      <w:r w:rsidRPr="27F9579F">
        <w:rPr>
          <w:szCs w:val="22"/>
        </w:rPr>
        <w:t>.</w:t>
      </w:r>
      <w:r w:rsidRPr="002C43A2">
        <w:t xml:space="preserve"> </w:t>
      </w:r>
      <w:r>
        <w:t xml:space="preserve">If described in the Budget (Attachment 06) the Applicant may propose to count the costs of these tasks as match funds.  </w:t>
      </w:r>
    </w:p>
    <w:p w14:paraId="58052ACF" w14:textId="6C6754FE" w:rsidR="00674AE1" w:rsidRDefault="00674AE1" w:rsidP="00583311">
      <w:pPr>
        <w:pStyle w:val="Heading4"/>
        <w:numPr>
          <w:ilvl w:val="0"/>
          <w:numId w:val="59"/>
        </w:numPr>
        <w:tabs>
          <w:tab w:val="num" w:pos="360"/>
        </w:tabs>
        <w:ind w:left="0" w:firstLine="0"/>
      </w:pPr>
      <w:bookmarkStart w:id="142" w:name="_Toc243558530"/>
      <w:r>
        <w:t>Proposition 4 Directed Priorities</w:t>
      </w:r>
      <w:bookmarkEnd w:id="142"/>
      <w:r>
        <w:t xml:space="preserve"> </w:t>
      </w:r>
    </w:p>
    <w:p w14:paraId="59482E99" w14:textId="77777777" w:rsidR="00674AE1" w:rsidRDefault="00674AE1" w:rsidP="00674AE1">
      <w:r>
        <w:t>Proposition 4 requires that administering agencies give priority to the below listed elements. For the purposes of this solicitation, priority will be assessed in the form of preference points, or additional points, in the evaluation criteria.</w:t>
      </w:r>
    </w:p>
    <w:p w14:paraId="413096E6" w14:textId="77777777" w:rsidR="00674AE1" w:rsidRPr="00DA5E18" w:rsidRDefault="00674AE1" w:rsidP="004605BE">
      <w:pPr>
        <w:pStyle w:val="Heading5"/>
        <w:numPr>
          <w:ilvl w:val="0"/>
          <w:numId w:val="71"/>
        </w:numPr>
        <w:ind w:left="1260" w:hanging="540"/>
      </w:pPr>
      <w:r w:rsidRPr="00CF2DF7">
        <w:t>Match Funding</w:t>
      </w:r>
    </w:p>
    <w:p w14:paraId="0019BDF1" w14:textId="7021E736" w:rsidR="00674AE1" w:rsidRPr="00512105" w:rsidRDefault="00674AE1" w:rsidP="00DA5E18">
      <w:r>
        <w:t xml:space="preserve">Preference points are available for projects that exceed the minimum required match funding, leveraging private, federal, and local funding </w:t>
      </w:r>
      <w:r w:rsidR="004D4B72">
        <w:t xml:space="preserve">or </w:t>
      </w:r>
      <w:r>
        <w:t>produce the greatest public benefit.</w:t>
      </w:r>
      <w:r w:rsidR="00880F6E">
        <w:rPr>
          <w:rStyle w:val="FootnoteReference"/>
        </w:rPr>
        <w:footnoteReference w:id="16"/>
      </w:r>
    </w:p>
    <w:p w14:paraId="7698657E" w14:textId="77777777" w:rsidR="00674AE1" w:rsidRPr="00DA5E18" w:rsidRDefault="00674AE1" w:rsidP="004605BE">
      <w:pPr>
        <w:pStyle w:val="Heading5"/>
        <w:numPr>
          <w:ilvl w:val="0"/>
          <w:numId w:val="71"/>
        </w:numPr>
        <w:ind w:left="1260" w:hanging="540"/>
      </w:pPr>
      <w:r w:rsidRPr="00757A6C">
        <w:t>Vulnerable Populations and (Severely) Disadvantaged Communities</w:t>
      </w:r>
    </w:p>
    <w:p w14:paraId="4F7A93A7" w14:textId="77777777" w:rsidR="00674AE1" w:rsidRDefault="00674AE1" w:rsidP="0043234F">
      <w:r>
        <w:t>Preference points are available for projects that demonstrate meaningful and direct benefits to:</w:t>
      </w:r>
    </w:p>
    <w:p w14:paraId="2C7F3F1E" w14:textId="77777777" w:rsidR="00674AE1" w:rsidRPr="00C80869" w:rsidRDefault="00674AE1" w:rsidP="00674AE1">
      <w:pPr>
        <w:pStyle w:val="ListParagraph"/>
        <w:numPr>
          <w:ilvl w:val="0"/>
          <w:numId w:val="33"/>
        </w:numPr>
        <w:ind w:left="720"/>
        <w:contextualSpacing w:val="0"/>
        <w:rPr>
          <w:rFonts w:eastAsia="Arial"/>
          <w:color w:val="000000" w:themeColor="text1"/>
        </w:rPr>
      </w:pPr>
      <w:r w:rsidRPr="00702DCC">
        <w:t>Vulnerable Populations</w:t>
      </w:r>
      <w:r>
        <w:t xml:space="preserve">, including </w:t>
      </w:r>
      <w:proofErr w:type="gramStart"/>
      <w:r>
        <w:t>tribes;</w:t>
      </w:r>
      <w:proofErr w:type="gramEnd"/>
    </w:p>
    <w:p w14:paraId="28A52662" w14:textId="77777777" w:rsidR="00674AE1" w:rsidRPr="00390EED" w:rsidRDefault="00674AE1" w:rsidP="00674AE1">
      <w:pPr>
        <w:pStyle w:val="ListParagraph"/>
        <w:numPr>
          <w:ilvl w:val="0"/>
          <w:numId w:val="33"/>
        </w:numPr>
        <w:ind w:left="720"/>
        <w:contextualSpacing w:val="0"/>
        <w:rPr>
          <w:rFonts w:eastAsia="Arial"/>
          <w:color w:val="000000" w:themeColor="text1"/>
        </w:rPr>
      </w:pPr>
      <w:r w:rsidRPr="00702DCC">
        <w:t>Disadvantaged Communities</w:t>
      </w:r>
      <w:r>
        <w:t xml:space="preserve"> (DACs); or </w:t>
      </w:r>
    </w:p>
    <w:p w14:paraId="62BE5830" w14:textId="77777777" w:rsidR="00674AE1" w:rsidRPr="00F756D5" w:rsidRDefault="00674AE1" w:rsidP="00674AE1">
      <w:pPr>
        <w:pStyle w:val="ListParagraph"/>
        <w:numPr>
          <w:ilvl w:val="0"/>
          <w:numId w:val="33"/>
        </w:numPr>
        <w:ind w:left="720"/>
        <w:contextualSpacing w:val="0"/>
        <w:rPr>
          <w:rFonts w:eastAsia="Arial"/>
          <w:color w:val="000000" w:themeColor="text1"/>
        </w:rPr>
      </w:pPr>
      <w:r w:rsidRPr="00702DCC">
        <w:t>Severely Disadvantaged Communities</w:t>
      </w:r>
      <w:r>
        <w:t xml:space="preserve"> (SDACs). </w:t>
      </w:r>
    </w:p>
    <w:p w14:paraId="3B4A1A6E" w14:textId="77777777" w:rsidR="00674AE1" w:rsidRDefault="00674AE1" w:rsidP="00674AE1">
      <w:pPr>
        <w:ind w:firstLine="720"/>
      </w:pPr>
      <w:r>
        <w:t xml:space="preserve">See Section I.C. “Definitions of Keywords” for full definitions. </w:t>
      </w:r>
    </w:p>
    <w:p w14:paraId="24E4C481" w14:textId="6AECF90D" w:rsidR="00674AE1" w:rsidRPr="003D3C48" w:rsidRDefault="00674AE1" w:rsidP="005B1967">
      <w:pPr>
        <w:pStyle w:val="BodyText"/>
        <w:keepNext/>
        <w:spacing w:before="39"/>
        <w:ind w:right="144"/>
        <w:rPr>
          <w:szCs w:val="24"/>
        </w:rPr>
      </w:pPr>
      <w:r w:rsidRPr="02076133">
        <w:t xml:space="preserve">Examples of </w:t>
      </w:r>
      <w:r>
        <w:t>benefits</w:t>
      </w:r>
      <w:r w:rsidR="00C725C0">
        <w:rPr>
          <w:rStyle w:val="FootnoteReference"/>
        </w:rPr>
        <w:footnoteReference w:id="17"/>
      </w:r>
      <w:r>
        <w:t xml:space="preserve"> include, but are not limited to:</w:t>
      </w:r>
    </w:p>
    <w:p w14:paraId="77535AD5" w14:textId="77777777" w:rsidR="00674AE1" w:rsidRPr="00560C09" w:rsidRDefault="00674AE1" w:rsidP="00674AE1">
      <w:pPr>
        <w:pStyle w:val="ListParagraph"/>
        <w:numPr>
          <w:ilvl w:val="1"/>
          <w:numId w:val="53"/>
        </w:numPr>
        <w:contextualSpacing w:val="0"/>
      </w:pPr>
      <w:r w:rsidRPr="00560C09">
        <w:rPr>
          <w:rFonts w:eastAsia="Arial"/>
          <w:color w:val="000000" w:themeColor="text1"/>
        </w:rPr>
        <w:t xml:space="preserve">Creating good local jobs with fair wages, benefits, and job </w:t>
      </w:r>
      <w:proofErr w:type="gramStart"/>
      <w:r w:rsidRPr="00560C09">
        <w:rPr>
          <w:rFonts w:eastAsia="Arial"/>
          <w:color w:val="000000" w:themeColor="text1"/>
        </w:rPr>
        <w:t>training;</w:t>
      </w:r>
      <w:proofErr w:type="gramEnd"/>
    </w:p>
    <w:p w14:paraId="53D092A4" w14:textId="77777777" w:rsidR="00674AE1" w:rsidRPr="00560C09"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t xml:space="preserve">Helping regions build capacity to design and deliver strong, community-led </w:t>
      </w:r>
      <w:proofErr w:type="gramStart"/>
      <w:r w:rsidRPr="00560C09">
        <w:rPr>
          <w:rFonts w:eastAsia="Arial"/>
          <w:color w:val="000000" w:themeColor="text1"/>
        </w:rPr>
        <w:t>projects;</w:t>
      </w:r>
      <w:proofErr w:type="gramEnd"/>
    </w:p>
    <w:p w14:paraId="039681C3" w14:textId="77777777" w:rsidR="00674AE1" w:rsidRPr="00560C09"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t>Supporting tribal stewardship (which can include tribal access to lands, natural resources, and culturally important places; collaboration between tribes and other entities to share management and responsibilities of a given area or set of natural resources; and ancestral land return</w:t>
      </w:r>
      <w:proofErr w:type="gramStart"/>
      <w:r w:rsidRPr="00560C09">
        <w:rPr>
          <w:rFonts w:eastAsia="Arial"/>
          <w:color w:val="000000" w:themeColor="text1"/>
        </w:rPr>
        <w:t>);</w:t>
      </w:r>
      <w:proofErr w:type="gramEnd"/>
    </w:p>
    <w:p w14:paraId="3FFCC3B2" w14:textId="77777777" w:rsidR="00674AE1" w:rsidRPr="00560C09"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t xml:space="preserve">Expanding education and awareness through partnerships with community groups, schools, nonprofits, and tribal </w:t>
      </w:r>
      <w:proofErr w:type="gramStart"/>
      <w:r w:rsidRPr="00560C09">
        <w:rPr>
          <w:rFonts w:eastAsia="Arial"/>
          <w:color w:val="000000" w:themeColor="text1"/>
        </w:rPr>
        <w:t>organizations;</w:t>
      </w:r>
      <w:proofErr w:type="gramEnd"/>
    </w:p>
    <w:p w14:paraId="5EEC63CC" w14:textId="77777777" w:rsidR="00674AE1" w:rsidRPr="00560C09"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t xml:space="preserve">Reducing greenhouse gas emissions to help slow climate </w:t>
      </w:r>
      <w:proofErr w:type="gramStart"/>
      <w:r w:rsidRPr="00560C09">
        <w:rPr>
          <w:rFonts w:eastAsia="Arial"/>
          <w:color w:val="000000" w:themeColor="text1"/>
        </w:rPr>
        <w:t>change;</w:t>
      </w:r>
      <w:proofErr w:type="gramEnd"/>
    </w:p>
    <w:p w14:paraId="2DBD64AC" w14:textId="77777777" w:rsidR="00674AE1" w:rsidRPr="00560C09"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lastRenderedPageBreak/>
        <w:t xml:space="preserve">Improving air quality to protect public health, especially in communities overburdened by air </w:t>
      </w:r>
      <w:proofErr w:type="gramStart"/>
      <w:r w:rsidRPr="00560C09">
        <w:rPr>
          <w:rFonts w:eastAsia="Arial"/>
          <w:color w:val="000000" w:themeColor="text1"/>
        </w:rPr>
        <w:t>pollution;</w:t>
      </w:r>
      <w:proofErr w:type="gramEnd"/>
    </w:p>
    <w:p w14:paraId="55CBF2F9" w14:textId="77777777" w:rsidR="00674AE1" w:rsidRDefault="00674AE1" w:rsidP="00674AE1">
      <w:pPr>
        <w:pStyle w:val="ListParagraph"/>
        <w:numPr>
          <w:ilvl w:val="1"/>
          <w:numId w:val="53"/>
        </w:numPr>
        <w:contextualSpacing w:val="0"/>
        <w:rPr>
          <w:rFonts w:eastAsia="Arial"/>
          <w:color w:val="000000" w:themeColor="text1"/>
        </w:rPr>
      </w:pPr>
      <w:r w:rsidRPr="00560C09">
        <w:rPr>
          <w:rFonts w:eastAsia="Arial"/>
          <w:color w:val="000000" w:themeColor="text1"/>
        </w:rPr>
        <w:t>Strengthening energy systems to be cleaner, more reliable, and resilient.</w:t>
      </w:r>
    </w:p>
    <w:p w14:paraId="0C352828" w14:textId="77777777" w:rsidR="00674AE1" w:rsidRDefault="00674AE1" w:rsidP="0043234F">
      <w:pPr>
        <w:rPr>
          <w:rFonts w:eastAsia="Arial"/>
        </w:rPr>
      </w:pPr>
      <w:r>
        <w:rPr>
          <w:rFonts w:eastAsia="Arial"/>
        </w:rPr>
        <w:t xml:space="preserve">A project’s benefits are considered meaningful and direct to a (S)DAC or vulnerable population if the project ensures the creation of a direct, tangible, and substantial benefits to individuals of the (S)DAC or vulnerable population that would not have materialized without its implementation. </w:t>
      </w:r>
    </w:p>
    <w:p w14:paraId="6E523702" w14:textId="27FE6F02" w:rsidR="00674AE1" w:rsidRPr="00172110" w:rsidRDefault="00674AE1" w:rsidP="0043234F">
      <w:pPr>
        <w:rPr>
          <w:rFonts w:eastAsia="Arial"/>
        </w:rPr>
      </w:pPr>
      <w:r>
        <w:t xml:space="preserve">To determine meaningful and direct benefits, Applicants should </w:t>
      </w:r>
      <w:r>
        <w:rPr>
          <w:rFonts w:eastAsia="Arial"/>
        </w:rPr>
        <w:t>follow the guidance in the “</w:t>
      </w:r>
      <w:hyperlink r:id="rId35" w:history="1">
        <w:r w:rsidRPr="00D152E2">
          <w:rPr>
            <w:rStyle w:val="Hyperlink"/>
            <w:rFonts w:eastAsia="Arial" w:cs="Arial"/>
          </w:rPr>
          <w:t>Meaningful and Direct Benefits Assessment: 2024 Climate Bond</w:t>
        </w:r>
      </w:hyperlink>
      <w:r>
        <w:rPr>
          <w:rFonts w:eastAsia="Arial"/>
        </w:rPr>
        <w:t>” published by the California Natural Resources Agency</w:t>
      </w:r>
      <w:r w:rsidRPr="006F4BB4">
        <w:rPr>
          <w:rStyle w:val="Hyperlink"/>
          <w:rFonts w:cs="Arial"/>
          <w:color w:val="auto"/>
          <w:u w:val="none"/>
        </w:rPr>
        <w:t>.</w:t>
      </w:r>
    </w:p>
    <w:p w14:paraId="63153592" w14:textId="77777777" w:rsidR="00674AE1" w:rsidRDefault="00674AE1" w:rsidP="00674AE1">
      <w:pPr>
        <w:rPr>
          <w:rFonts w:eastAsia="Arial"/>
          <w:color w:val="000000" w:themeColor="text1"/>
        </w:rPr>
      </w:pPr>
      <w:r>
        <w:t xml:space="preserve">Applicants may determine communities receiving meaningful and direct benefits by using </w:t>
      </w:r>
      <w:r w:rsidRPr="006509F1">
        <w:rPr>
          <w:rFonts w:eastAsia="Arial"/>
          <w:color w:val="000000" w:themeColor="text1"/>
        </w:rPr>
        <w:t xml:space="preserve">the </w:t>
      </w:r>
      <w:r>
        <w:rPr>
          <w:rFonts w:eastAsia="Arial"/>
          <w:color w:val="000000" w:themeColor="text1"/>
        </w:rPr>
        <w:t>following tools developed for Proposition 4:</w:t>
      </w:r>
    </w:p>
    <w:p w14:paraId="3FB506F8" w14:textId="127C6B27" w:rsidR="00674AE1" w:rsidRPr="00C3651E" w:rsidRDefault="00D152E2" w:rsidP="00674AE1">
      <w:pPr>
        <w:pStyle w:val="ListParagraph"/>
        <w:numPr>
          <w:ilvl w:val="0"/>
          <w:numId w:val="39"/>
        </w:numPr>
        <w:ind w:left="1080"/>
        <w:contextualSpacing w:val="0"/>
        <w:rPr>
          <w:rStyle w:val="Hyperlink"/>
          <w:rFonts w:eastAsia="Arial" w:cs="Arial"/>
          <w:color w:val="000000" w:themeColor="text1"/>
          <w:u w:val="none"/>
        </w:rPr>
      </w:pPr>
      <w:hyperlink r:id="rId36" w:history="1">
        <w:r w:rsidR="00674AE1" w:rsidRPr="00D152E2">
          <w:rPr>
            <w:rStyle w:val="Hyperlink"/>
            <w:rFonts w:eastAsia="Arial" w:cs="Arial"/>
            <w:b/>
            <w:bCs/>
          </w:rPr>
          <w:t>Climate Bond Disadvantaged Communities Map</w:t>
        </w:r>
      </w:hyperlink>
      <w:r w:rsidR="00674AE1" w:rsidRPr="00AF5FBB">
        <w:rPr>
          <w:rFonts w:eastAsia="Arial"/>
          <w:b/>
          <w:bCs/>
          <w:color w:val="000000" w:themeColor="text1"/>
        </w:rPr>
        <w:t xml:space="preserve">: </w:t>
      </w:r>
    </w:p>
    <w:p w14:paraId="1ED92546" w14:textId="77777777" w:rsidR="00674AE1" w:rsidRPr="00992997" w:rsidRDefault="00674AE1" w:rsidP="00674AE1">
      <w:pPr>
        <w:pStyle w:val="ListParagraph"/>
        <w:ind w:left="1080"/>
        <w:rPr>
          <w:rFonts w:eastAsia="Arial"/>
          <w:color w:val="000000" w:themeColor="text1"/>
        </w:rPr>
      </w:pPr>
      <w:r w:rsidRPr="00AF5FBB">
        <w:rPr>
          <w:rFonts w:eastAsia="Arial"/>
          <w:color w:val="000000" w:themeColor="text1"/>
        </w:rPr>
        <w:t>For the purposes of this solicitation, when using t</w:t>
      </w:r>
      <w:r>
        <w:rPr>
          <w:rFonts w:eastAsia="Arial"/>
          <w:color w:val="000000" w:themeColor="text1"/>
        </w:rPr>
        <w:t>he Climate Bond DAC Map</w:t>
      </w:r>
      <w:r w:rsidRPr="00AF5FBB">
        <w:rPr>
          <w:rFonts w:eastAsia="Arial"/>
          <w:color w:val="000000" w:themeColor="text1"/>
        </w:rPr>
        <w:t xml:space="preserve">, </w:t>
      </w:r>
      <w:r>
        <w:rPr>
          <w:rFonts w:eastAsia="Arial"/>
          <w:color w:val="000000" w:themeColor="text1"/>
        </w:rPr>
        <w:t>a</w:t>
      </w:r>
      <w:r w:rsidRPr="00605C2D">
        <w:rPr>
          <w:rFonts w:eastAsia="Arial"/>
          <w:color w:val="000000" w:themeColor="text1"/>
        </w:rPr>
        <w:t>reas with at least one comparison meeting the criteria for</w:t>
      </w:r>
      <w:r>
        <w:rPr>
          <w:rFonts w:eastAsia="Arial"/>
          <w:color w:val="000000" w:themeColor="text1"/>
        </w:rPr>
        <w:t xml:space="preserve"> </w:t>
      </w:r>
      <w:r w:rsidRPr="5885B16F">
        <w:rPr>
          <w:rFonts w:eastAsia="Arial"/>
          <w:color w:val="000000" w:themeColor="text1"/>
        </w:rPr>
        <w:t>(</w:t>
      </w:r>
      <w:r>
        <w:rPr>
          <w:rFonts w:eastAsia="Arial"/>
          <w:color w:val="000000" w:themeColor="text1"/>
        </w:rPr>
        <w:t>and are labeled as</w:t>
      </w:r>
      <w:r w:rsidRPr="5885B16F">
        <w:rPr>
          <w:rFonts w:eastAsia="Arial"/>
          <w:color w:val="000000" w:themeColor="text1"/>
        </w:rPr>
        <w:t>)</w:t>
      </w:r>
      <w:r w:rsidRPr="00605C2D">
        <w:rPr>
          <w:rFonts w:eastAsia="Arial"/>
          <w:color w:val="000000" w:themeColor="text1"/>
        </w:rPr>
        <w:t xml:space="preserve"> </w:t>
      </w:r>
      <w:r>
        <w:rPr>
          <w:rFonts w:eastAsia="Arial"/>
          <w:color w:val="000000" w:themeColor="text1"/>
        </w:rPr>
        <w:t>“</w:t>
      </w:r>
      <w:r w:rsidRPr="00605C2D">
        <w:rPr>
          <w:rFonts w:eastAsia="Arial"/>
          <w:color w:val="000000" w:themeColor="text1"/>
        </w:rPr>
        <w:t>DAC</w:t>
      </w:r>
      <w:r>
        <w:rPr>
          <w:rFonts w:eastAsia="Arial"/>
          <w:color w:val="000000" w:themeColor="text1"/>
        </w:rPr>
        <w:t>”</w:t>
      </w:r>
      <w:r w:rsidRPr="00605C2D">
        <w:rPr>
          <w:rFonts w:eastAsia="Arial"/>
          <w:color w:val="000000" w:themeColor="text1"/>
        </w:rPr>
        <w:t xml:space="preserve"> </w:t>
      </w:r>
      <w:r>
        <w:rPr>
          <w:rFonts w:eastAsia="Arial"/>
          <w:color w:val="000000" w:themeColor="text1"/>
        </w:rPr>
        <w:t>or “</w:t>
      </w:r>
      <w:r w:rsidRPr="00605C2D">
        <w:rPr>
          <w:rFonts w:eastAsia="Arial"/>
          <w:color w:val="000000" w:themeColor="text1"/>
        </w:rPr>
        <w:t>SDAC</w:t>
      </w:r>
      <w:r>
        <w:rPr>
          <w:rFonts w:eastAsia="Arial"/>
          <w:color w:val="000000" w:themeColor="text1"/>
        </w:rPr>
        <w:t>”</w:t>
      </w:r>
      <w:r w:rsidRPr="00605C2D">
        <w:rPr>
          <w:rFonts w:eastAsia="Arial"/>
          <w:color w:val="000000" w:themeColor="text1"/>
        </w:rPr>
        <w:t xml:space="preserve"> </w:t>
      </w:r>
      <w:r>
        <w:rPr>
          <w:rFonts w:eastAsia="Arial"/>
          <w:color w:val="000000" w:themeColor="text1"/>
        </w:rPr>
        <w:t>qualifies.</w:t>
      </w:r>
    </w:p>
    <w:p w14:paraId="7B788185" w14:textId="77777777" w:rsidR="005B1967" w:rsidRPr="005B1967" w:rsidRDefault="005B1967" w:rsidP="005B1967">
      <w:pPr>
        <w:keepNext/>
        <w:spacing w:after="0"/>
        <w:rPr>
          <w:rFonts w:eastAsia="Arial"/>
          <w:b/>
          <w:bCs/>
          <w:color w:val="000000" w:themeColor="text1"/>
        </w:rPr>
      </w:pPr>
    </w:p>
    <w:p w14:paraId="0B77A55B" w14:textId="5A27B9FE" w:rsidR="00674AE1" w:rsidRPr="004226E7" w:rsidRDefault="00D152E2" w:rsidP="005B1967">
      <w:pPr>
        <w:pStyle w:val="ListParagraph"/>
        <w:keepNext/>
        <w:numPr>
          <w:ilvl w:val="0"/>
          <w:numId w:val="39"/>
        </w:numPr>
        <w:spacing w:after="0"/>
        <w:ind w:left="1080"/>
        <w:contextualSpacing w:val="0"/>
        <w:rPr>
          <w:rFonts w:eastAsia="Arial"/>
          <w:b/>
          <w:bCs/>
          <w:color w:val="000000" w:themeColor="text1"/>
        </w:rPr>
      </w:pPr>
      <w:hyperlink r:id="rId37" w:history="1">
        <w:r w:rsidR="00674AE1" w:rsidRPr="00D152E2">
          <w:rPr>
            <w:rStyle w:val="Hyperlink"/>
            <w:rFonts w:eastAsia="Arial" w:cs="Arial"/>
            <w:b/>
            <w:bCs/>
          </w:rPr>
          <w:t>Vulnerable Communities Platform (VCP) Tool</w:t>
        </w:r>
      </w:hyperlink>
      <w:r w:rsidR="00674AE1" w:rsidRPr="004226E7">
        <w:rPr>
          <w:rFonts w:eastAsia="Arial"/>
          <w:b/>
          <w:bCs/>
          <w:color w:val="000000" w:themeColor="text1"/>
        </w:rPr>
        <w:t>:</w:t>
      </w:r>
    </w:p>
    <w:p w14:paraId="4E09FB00" w14:textId="77777777" w:rsidR="00674AE1" w:rsidRPr="00AF5FBB" w:rsidRDefault="00674AE1" w:rsidP="00674AE1">
      <w:pPr>
        <w:ind w:left="1080"/>
        <w:rPr>
          <w:rFonts w:eastAsia="Arial"/>
          <w:color w:val="000000" w:themeColor="text1"/>
        </w:rPr>
      </w:pPr>
      <w:r w:rsidRPr="00AF5FBB">
        <w:rPr>
          <w:rFonts w:eastAsia="Arial"/>
          <w:color w:val="000000" w:themeColor="text1"/>
        </w:rPr>
        <w:t xml:space="preserve">For the purposes of this solicitation, when using the VCP, a community must qualify in one of the following top three categories for </w:t>
      </w:r>
      <w:r w:rsidRPr="00672C55">
        <w:rPr>
          <w:rFonts w:eastAsia="Arial"/>
          <w:color w:val="000000" w:themeColor="text1"/>
          <w:u w:val="single"/>
        </w:rPr>
        <w:t xml:space="preserve">any </w:t>
      </w:r>
      <w:r>
        <w:rPr>
          <w:rFonts w:eastAsia="Arial"/>
          <w:color w:val="000000" w:themeColor="text1"/>
          <w:u w:val="single"/>
        </w:rPr>
        <w:t xml:space="preserve">climate </w:t>
      </w:r>
      <w:r w:rsidRPr="00672C55">
        <w:rPr>
          <w:rFonts w:eastAsia="Arial"/>
          <w:color w:val="000000" w:themeColor="text1"/>
          <w:u w:val="single"/>
        </w:rPr>
        <w:t>hazard</w:t>
      </w:r>
      <w:r w:rsidRPr="00AF5FBB">
        <w:rPr>
          <w:rFonts w:eastAsia="Arial"/>
          <w:color w:val="000000" w:themeColor="text1"/>
        </w:rPr>
        <w:t xml:space="preserve"> in the </w:t>
      </w:r>
      <w:r w:rsidRPr="00F1011E">
        <w:rPr>
          <w:rFonts w:eastAsia="Arial"/>
          <w:color w:val="000000" w:themeColor="text1"/>
          <w:u w:val="single"/>
        </w:rPr>
        <w:t>current</w:t>
      </w:r>
      <w:r w:rsidRPr="0063090D">
        <w:rPr>
          <w:rFonts w:eastAsia="Arial"/>
          <w:color w:val="000000" w:themeColor="text1"/>
          <w:u w:val="single"/>
        </w:rPr>
        <w:t xml:space="preserve"> </w:t>
      </w:r>
      <w:r w:rsidRPr="00F1011E">
        <w:rPr>
          <w:rFonts w:eastAsia="Arial"/>
          <w:color w:val="000000" w:themeColor="text1"/>
          <w:u w:val="single"/>
        </w:rPr>
        <w:t>timeframe</w:t>
      </w:r>
      <w:r>
        <w:rPr>
          <w:rFonts w:eastAsia="Arial"/>
          <w:color w:val="000000" w:themeColor="text1"/>
        </w:rPr>
        <w:t xml:space="preserve"> to count as a vulnerable population</w:t>
      </w:r>
      <w:r w:rsidRPr="00AF5FBB">
        <w:rPr>
          <w:rFonts w:eastAsia="Arial"/>
          <w:color w:val="000000" w:themeColor="text1"/>
        </w:rPr>
        <w:t xml:space="preserve">: </w:t>
      </w:r>
    </w:p>
    <w:p w14:paraId="6FEF0E75" w14:textId="77777777" w:rsidR="00674AE1" w:rsidRDefault="00674AE1" w:rsidP="00674AE1">
      <w:pPr>
        <w:pStyle w:val="ListParagraph"/>
        <w:numPr>
          <w:ilvl w:val="2"/>
          <w:numId w:val="39"/>
        </w:numPr>
        <w:ind w:left="1620"/>
        <w:contextualSpacing w:val="0"/>
        <w:rPr>
          <w:rFonts w:eastAsia="Arial"/>
          <w:color w:val="000000" w:themeColor="text1"/>
        </w:rPr>
      </w:pPr>
      <w:r w:rsidRPr="00AF5FBB">
        <w:rPr>
          <w:rFonts w:eastAsia="Arial"/>
          <w:color w:val="000000" w:themeColor="text1"/>
        </w:rPr>
        <w:t>HIGH climate hazard and HIGH social vulnerability</w:t>
      </w:r>
    </w:p>
    <w:p w14:paraId="410A8814" w14:textId="77777777" w:rsidR="00674AE1" w:rsidRDefault="00674AE1" w:rsidP="00674AE1">
      <w:pPr>
        <w:pStyle w:val="ListParagraph"/>
        <w:numPr>
          <w:ilvl w:val="2"/>
          <w:numId w:val="39"/>
        </w:numPr>
        <w:ind w:left="1620"/>
        <w:contextualSpacing w:val="0"/>
        <w:rPr>
          <w:rFonts w:eastAsia="Arial"/>
          <w:color w:val="000000" w:themeColor="text1"/>
        </w:rPr>
      </w:pPr>
      <w:r w:rsidRPr="00AF5FBB">
        <w:rPr>
          <w:rFonts w:eastAsia="Arial"/>
          <w:color w:val="000000" w:themeColor="text1"/>
        </w:rPr>
        <w:t>MEDIUM climate hazard and HIGH social vulnerability</w:t>
      </w:r>
    </w:p>
    <w:p w14:paraId="4C133E8F" w14:textId="77777777" w:rsidR="00674AE1" w:rsidRPr="00AF5FBB" w:rsidRDefault="00674AE1" w:rsidP="00674AE1">
      <w:pPr>
        <w:pStyle w:val="ListParagraph"/>
        <w:numPr>
          <w:ilvl w:val="2"/>
          <w:numId w:val="39"/>
        </w:numPr>
        <w:ind w:left="1620"/>
        <w:contextualSpacing w:val="0"/>
        <w:rPr>
          <w:rFonts w:eastAsia="Arial"/>
          <w:color w:val="000000" w:themeColor="text1"/>
        </w:rPr>
      </w:pPr>
      <w:r w:rsidRPr="00AF5FBB">
        <w:rPr>
          <w:rFonts w:eastAsia="Arial"/>
          <w:color w:val="000000" w:themeColor="text1"/>
        </w:rPr>
        <w:t>HIGH climate hazard and MEDIUM social vulnerability</w:t>
      </w:r>
    </w:p>
    <w:p w14:paraId="1953BEE1" w14:textId="77777777" w:rsidR="00674AE1" w:rsidRPr="008F0A66" w:rsidRDefault="00674AE1" w:rsidP="00674AE1">
      <w:pPr>
        <w:ind w:left="1080"/>
        <w:rPr>
          <w:rFonts w:eastAsia="Arial"/>
          <w:color w:val="000000" w:themeColor="text1"/>
        </w:rPr>
      </w:pPr>
      <w:r w:rsidRPr="4A4EC920">
        <w:rPr>
          <w:rFonts w:eastAsia="Arial"/>
          <w:color w:val="000000" w:themeColor="text1"/>
        </w:rPr>
        <w:t xml:space="preserve">If seeking preference points for benefits to vulnerable populations, </w:t>
      </w:r>
      <w:r>
        <w:rPr>
          <w:rFonts w:eastAsia="Arial"/>
          <w:color w:val="000000" w:themeColor="text1"/>
        </w:rPr>
        <w:t>Applicants must generate and submit with the application a report (using the VCP Report Generator) demonstrating that qualifying communities meet the above requirements. To request support for using the tool, please use the “Help Desk” link on the VCP homepage.</w:t>
      </w:r>
    </w:p>
    <w:p w14:paraId="3CCE89CB" w14:textId="77777777" w:rsidR="00674AE1" w:rsidRDefault="00674AE1" w:rsidP="00674AE1">
      <w:pPr>
        <w:rPr>
          <w:rStyle w:val="Hyperlink"/>
          <w:rFonts w:cs="Arial"/>
        </w:rPr>
      </w:pPr>
      <w:r>
        <w:t xml:space="preserve">Mapping tools may be used to identify whether a community meets the vulnerable populations or (S)DAC definitions, however, these tools will not determine the meaningful and direct benefits that a project may provide to these communities. </w:t>
      </w:r>
    </w:p>
    <w:p w14:paraId="55689DE6" w14:textId="77777777" w:rsidR="00CE2F64" w:rsidRDefault="00674AE1" w:rsidP="00674AE1">
      <w:pPr>
        <w:rPr>
          <w:szCs w:val="24"/>
        </w:rPr>
      </w:pPr>
      <w:r w:rsidRPr="00E07770">
        <w:rPr>
          <w:szCs w:val="24"/>
        </w:rPr>
        <w:t xml:space="preserve">To qualify for </w:t>
      </w:r>
      <w:r>
        <w:rPr>
          <w:szCs w:val="24"/>
        </w:rPr>
        <w:t>preference</w:t>
      </w:r>
      <w:r w:rsidRPr="00E07770">
        <w:rPr>
          <w:szCs w:val="24"/>
        </w:rPr>
        <w:t xml:space="preserve"> points, an </w:t>
      </w:r>
      <w:r>
        <w:rPr>
          <w:szCs w:val="24"/>
        </w:rPr>
        <w:t>A</w:t>
      </w:r>
      <w:r w:rsidRPr="00E07770">
        <w:rPr>
          <w:szCs w:val="24"/>
        </w:rPr>
        <w:t xml:space="preserve">pplicant must </w:t>
      </w:r>
      <w:r>
        <w:rPr>
          <w:szCs w:val="24"/>
        </w:rPr>
        <w:t>identify</w:t>
      </w:r>
      <w:r w:rsidRPr="00E07770">
        <w:rPr>
          <w:szCs w:val="24"/>
        </w:rPr>
        <w:t xml:space="preserve"> the communities </w:t>
      </w:r>
      <w:r>
        <w:rPr>
          <w:szCs w:val="24"/>
        </w:rPr>
        <w:t>receiving meaningful and direct benefits</w:t>
      </w:r>
      <w:r w:rsidRPr="00E07770">
        <w:rPr>
          <w:szCs w:val="24"/>
        </w:rPr>
        <w:t xml:space="preserve"> </w:t>
      </w:r>
      <w:r>
        <w:rPr>
          <w:szCs w:val="24"/>
        </w:rPr>
        <w:t>from the project</w:t>
      </w:r>
      <w:r w:rsidRPr="00E07770">
        <w:rPr>
          <w:szCs w:val="24"/>
        </w:rPr>
        <w:t xml:space="preserve"> on the Application Form (Attachment 01)</w:t>
      </w:r>
      <w:r>
        <w:rPr>
          <w:szCs w:val="24"/>
        </w:rPr>
        <w:t>. The Applicant must also</w:t>
      </w:r>
      <w:r w:rsidRPr="00E07770">
        <w:rPr>
          <w:szCs w:val="24"/>
        </w:rPr>
        <w:t xml:space="preserve"> describe</w:t>
      </w:r>
      <w:r>
        <w:rPr>
          <w:szCs w:val="24"/>
        </w:rPr>
        <w:t xml:space="preserve"> </w:t>
      </w:r>
      <w:r w:rsidRPr="00E07770">
        <w:rPr>
          <w:szCs w:val="24"/>
        </w:rPr>
        <w:t xml:space="preserve">in the Project Narrative (Attachment 02) how </w:t>
      </w:r>
      <w:r>
        <w:rPr>
          <w:szCs w:val="24"/>
        </w:rPr>
        <w:t>the project will provide those</w:t>
      </w:r>
      <w:r w:rsidRPr="00E07770">
        <w:rPr>
          <w:szCs w:val="24"/>
        </w:rPr>
        <w:t xml:space="preserve"> communities </w:t>
      </w:r>
      <w:r>
        <w:rPr>
          <w:szCs w:val="24"/>
        </w:rPr>
        <w:t>with</w:t>
      </w:r>
      <w:r w:rsidRPr="00E07770">
        <w:rPr>
          <w:szCs w:val="24"/>
        </w:rPr>
        <w:t xml:space="preserve"> meaningful and direct benefits.</w:t>
      </w:r>
      <w:r>
        <w:rPr>
          <w:szCs w:val="24"/>
        </w:rPr>
        <w:t xml:space="preserve"> </w:t>
      </w:r>
    </w:p>
    <w:p w14:paraId="5A88F23B" w14:textId="3B8E192D" w:rsidR="00674AE1" w:rsidRDefault="00674AE1" w:rsidP="00674AE1">
      <w:pPr>
        <w:rPr>
          <w:szCs w:val="24"/>
        </w:rPr>
      </w:pPr>
      <w:r>
        <w:rPr>
          <w:szCs w:val="24"/>
        </w:rPr>
        <w:lastRenderedPageBreak/>
        <w:t xml:space="preserve">Note: locations identified on the Application Form must be for communities </w:t>
      </w:r>
      <w:r w:rsidRPr="00EE1680">
        <w:rPr>
          <w:szCs w:val="24"/>
          <w:u w:val="single"/>
        </w:rPr>
        <w:t>receiving</w:t>
      </w:r>
      <w:r>
        <w:rPr>
          <w:szCs w:val="24"/>
        </w:rPr>
        <w:t xml:space="preserve"> meaningful and direct benefits from the project. These locations may differ from the project’s physical location.</w:t>
      </w:r>
    </w:p>
    <w:p w14:paraId="52C1B832" w14:textId="77777777" w:rsidR="00674AE1" w:rsidRDefault="00674AE1" w:rsidP="00674AE1">
      <w:pPr>
        <w:rPr>
          <w:rFonts w:eastAsia="Arial"/>
          <w:color w:val="000000" w:themeColor="text1"/>
        </w:rPr>
      </w:pPr>
      <w:r>
        <w:rPr>
          <w:rFonts w:eastAsia="Arial"/>
          <w:color w:val="000000" w:themeColor="text1"/>
        </w:rPr>
        <w:t xml:space="preserve">The Project Narrative should address the following questions: </w:t>
      </w:r>
    </w:p>
    <w:p w14:paraId="6CC42C2E" w14:textId="5FB0079D" w:rsidR="00674AE1" w:rsidRDefault="00674AE1" w:rsidP="00674AE1">
      <w:pPr>
        <w:pStyle w:val="ListParagraph"/>
        <w:numPr>
          <w:ilvl w:val="0"/>
          <w:numId w:val="65"/>
        </w:numPr>
        <w:contextualSpacing w:val="0"/>
      </w:pPr>
      <w:r>
        <w:t xml:space="preserve">What benefit(s) will the project provide? See </w:t>
      </w:r>
      <w:r w:rsidR="0007767C">
        <w:t xml:space="preserve">above </w:t>
      </w:r>
      <w:r>
        <w:t>examples.</w:t>
      </w:r>
    </w:p>
    <w:p w14:paraId="3CDFCEA2" w14:textId="77777777" w:rsidR="00674AE1" w:rsidRDefault="00674AE1" w:rsidP="00674AE1">
      <w:pPr>
        <w:pStyle w:val="ListParagraph"/>
        <w:numPr>
          <w:ilvl w:val="0"/>
          <w:numId w:val="65"/>
        </w:numPr>
        <w:contextualSpacing w:val="0"/>
      </w:pPr>
      <w:r w:rsidRPr="005C77D3">
        <w:t xml:space="preserve">Which communities </w:t>
      </w:r>
      <w:r>
        <w:t>or populations</w:t>
      </w:r>
      <w:r w:rsidRPr="005C77D3">
        <w:t xml:space="preserve"> </w:t>
      </w:r>
      <w:r>
        <w:t>will receive the project benefits and are these a DAC, SDAC, or vulnerable population?</w:t>
      </w:r>
    </w:p>
    <w:p w14:paraId="7106E24F" w14:textId="77777777" w:rsidR="00674AE1" w:rsidRDefault="00674AE1" w:rsidP="00674AE1">
      <w:pPr>
        <w:pStyle w:val="ListParagraph"/>
        <w:numPr>
          <w:ilvl w:val="0"/>
          <w:numId w:val="65"/>
        </w:numPr>
        <w:contextualSpacing w:val="0"/>
      </w:pPr>
      <w:r>
        <w:t>Are the anticipated project benefits “meaningful and direct” to (S)DAC or vulnerable populations?</w:t>
      </w:r>
    </w:p>
    <w:p w14:paraId="3024D927" w14:textId="631249B1" w:rsidR="00674AE1" w:rsidRPr="003D3C48" w:rsidRDefault="00674AE1" w:rsidP="00674AE1">
      <w:pPr>
        <w:rPr>
          <w:rFonts w:eastAsia="Arial"/>
          <w:color w:val="000000" w:themeColor="text1"/>
        </w:rPr>
      </w:pPr>
      <w:r w:rsidRPr="00C80869">
        <w:rPr>
          <w:rFonts w:eastAsia="Arial"/>
          <w:color w:val="000000" w:themeColor="text1"/>
        </w:rPr>
        <w:t>Tribes, as defined by Proposition 4, are considered vulnerable populations and may or may not also qualify as DAC or SDAC for the purposes of the bond. To identify California Native American Tribes for the 2024 Climate Bond, State agencies and departments should utilize</w:t>
      </w:r>
      <w:r>
        <w:rPr>
          <w:rFonts w:eastAsia="Arial"/>
          <w:color w:val="000000" w:themeColor="text1"/>
        </w:rPr>
        <w:t xml:space="preserve"> the </w:t>
      </w:r>
      <w:r w:rsidRPr="00C80869">
        <w:rPr>
          <w:rFonts w:eastAsia="Arial"/>
          <w:color w:val="000000" w:themeColor="text1"/>
        </w:rPr>
        <w:t xml:space="preserve">California Tribal Consultation List, also known as the Tribal Contact </w:t>
      </w:r>
      <w:proofErr w:type="gramStart"/>
      <w:r w:rsidRPr="00C80869">
        <w:rPr>
          <w:rFonts w:eastAsia="Arial"/>
          <w:color w:val="000000" w:themeColor="text1"/>
        </w:rPr>
        <w:t>List</w:t>
      </w:r>
      <w:proofErr w:type="gramEnd"/>
      <w:r w:rsidRPr="00C80869">
        <w:rPr>
          <w:rFonts w:eastAsia="Arial"/>
          <w:color w:val="000000" w:themeColor="text1"/>
        </w:rPr>
        <w:t xml:space="preserve"> maintained by Native American Heritage Commission (NAHC). While this list is developed for purposes of tribal consultations under SB 18 and AB 52, the Legislature included the NAHC’s tribal contact list in the 2024 Climate Bond to identify California Native American </w:t>
      </w:r>
      <w:r>
        <w:rPr>
          <w:rFonts w:eastAsia="Arial"/>
          <w:color w:val="000000" w:themeColor="text1"/>
        </w:rPr>
        <w:t>T</w:t>
      </w:r>
      <w:r w:rsidRPr="00C80869">
        <w:rPr>
          <w:rFonts w:eastAsia="Arial"/>
          <w:color w:val="000000" w:themeColor="text1"/>
        </w:rPr>
        <w:t xml:space="preserve">ribes for Climate Bond purposes. Utilize </w:t>
      </w:r>
      <w:r w:rsidR="00056DA8">
        <w:rPr>
          <w:rFonts w:eastAsia="Arial"/>
          <w:color w:val="000000" w:themeColor="text1"/>
        </w:rPr>
        <w:t xml:space="preserve">the </w:t>
      </w:r>
      <w:hyperlink r:id="rId38" w:history="1">
        <w:r w:rsidR="00056DA8" w:rsidRPr="00056DA8">
          <w:rPr>
            <w:rStyle w:val="Hyperlink"/>
            <w:rFonts w:eastAsia="Arial" w:cs="Arial"/>
          </w:rPr>
          <w:t>Local Government Tribal Consultation List Request</w:t>
        </w:r>
      </w:hyperlink>
      <w:r w:rsidRPr="00C80869">
        <w:rPr>
          <w:rFonts w:eastAsia="Arial"/>
          <w:color w:val="000000" w:themeColor="text1"/>
        </w:rPr>
        <w:t xml:space="preserve"> </w:t>
      </w:r>
      <w:r w:rsidR="00056DA8">
        <w:rPr>
          <w:rFonts w:eastAsia="Arial"/>
          <w:color w:val="000000" w:themeColor="text1"/>
        </w:rPr>
        <w:t xml:space="preserve">form </w:t>
      </w:r>
      <w:r w:rsidRPr="00C80869">
        <w:rPr>
          <w:rFonts w:eastAsia="Arial"/>
          <w:color w:val="000000" w:themeColor="text1"/>
        </w:rPr>
        <w:t>to request a copy of the NAHC contact list</w:t>
      </w:r>
      <w:r>
        <w:rPr>
          <w:rFonts w:eastAsia="Arial"/>
          <w:color w:val="000000" w:themeColor="text1"/>
        </w:rPr>
        <w:t>:</w:t>
      </w:r>
      <w:r w:rsidRPr="009E0DA4">
        <w:rPr>
          <w:rFonts w:eastAsia="Arial"/>
          <w:color w:val="000000" w:themeColor="text1"/>
        </w:rPr>
        <w:t xml:space="preserve"> </w:t>
      </w:r>
    </w:p>
    <w:p w14:paraId="10AB68BD" w14:textId="77777777" w:rsidR="00674AE1" w:rsidRPr="008E334A" w:rsidRDefault="00674AE1" w:rsidP="004605BE">
      <w:pPr>
        <w:pStyle w:val="Heading5"/>
        <w:numPr>
          <w:ilvl w:val="0"/>
          <w:numId w:val="71"/>
        </w:numPr>
        <w:ind w:left="1440" w:hanging="720"/>
      </w:pPr>
      <w:r w:rsidRPr="003F2D9C">
        <w:t>Critical Infrastructure</w:t>
      </w:r>
    </w:p>
    <w:p w14:paraId="1ADDDDA6" w14:textId="7CBC9B50" w:rsidR="00674AE1" w:rsidRPr="00D94868" w:rsidRDefault="00674AE1" w:rsidP="008E334A">
      <w:r>
        <w:t>Preference points are available for any project eligible under this solicitation that is also receiving federal funding that supports critical infrastructure</w:t>
      </w:r>
      <w:r w:rsidR="00F544B6">
        <w:rPr>
          <w:rStyle w:val="FootnoteReference"/>
        </w:rPr>
        <w:footnoteReference w:id="18"/>
      </w:r>
      <w:r>
        <w:t>, such as a water utility project, only if that federal funding is secure and in place.</w:t>
      </w:r>
      <w:r>
        <w:rPr>
          <w:rStyle w:val="FootnoteReference"/>
        </w:rPr>
        <w:footnoteReference w:id="19"/>
      </w:r>
    </w:p>
    <w:p w14:paraId="4C8CEB9E" w14:textId="77777777" w:rsidR="00674AE1" w:rsidRPr="008E334A" w:rsidRDefault="00674AE1" w:rsidP="004605BE">
      <w:pPr>
        <w:pStyle w:val="Heading5"/>
        <w:numPr>
          <w:ilvl w:val="0"/>
          <w:numId w:val="71"/>
        </w:numPr>
        <w:ind w:left="1440" w:hanging="720"/>
      </w:pPr>
      <w:r w:rsidRPr="003F2D9C">
        <w:t>Community Conservation Corps</w:t>
      </w:r>
    </w:p>
    <w:p w14:paraId="5537DCB8" w14:textId="0990A9FD" w:rsidR="00674AE1" w:rsidRPr="000D4179" w:rsidRDefault="00674AE1" w:rsidP="008E334A">
      <w:r>
        <w:t xml:space="preserve">Preference points are available for projects that plan to use the services of the California Conservation Corps (CCC) or certified community conservation corps, as defined in </w:t>
      </w:r>
      <w:r w:rsidR="00E407C7">
        <w:t xml:space="preserve">PRC </w:t>
      </w:r>
      <w:r>
        <w:t>Section 14507.5.</w:t>
      </w:r>
      <w:r w:rsidRPr="00130348">
        <w:rPr>
          <w:rStyle w:val="FootnoteReference"/>
        </w:rPr>
        <w:footnoteReference w:id="20"/>
      </w:r>
      <w:r>
        <w:t xml:space="preserve"> The CCC provides grant consultation services upon request.</w:t>
      </w:r>
      <w:r>
        <w:rPr>
          <w:rStyle w:val="FootnoteReference"/>
        </w:rPr>
        <w:footnoteReference w:id="21"/>
      </w:r>
      <w:r>
        <w:t xml:space="preserve"> The Applicant must submit </w:t>
      </w:r>
      <w:r>
        <w:rPr>
          <w:rFonts w:eastAsia="Arial"/>
          <w:color w:val="000000" w:themeColor="text1"/>
        </w:rPr>
        <w:t>a</w:t>
      </w:r>
      <w:r w:rsidRPr="00A15452">
        <w:rPr>
          <w:rFonts w:eastAsia="Arial"/>
          <w:color w:val="000000" w:themeColor="text1"/>
        </w:rPr>
        <w:t xml:space="preserve"> signed Letter of Commitment from the conservation corps confirming services provided.</w:t>
      </w:r>
    </w:p>
    <w:p w14:paraId="5B1B7441" w14:textId="77777777" w:rsidR="00674AE1" w:rsidRDefault="00674AE1" w:rsidP="00674AE1">
      <w:pPr>
        <w:pStyle w:val="Heading4"/>
        <w:numPr>
          <w:ilvl w:val="0"/>
          <w:numId w:val="59"/>
        </w:numPr>
        <w:tabs>
          <w:tab w:val="num" w:pos="360"/>
        </w:tabs>
        <w:ind w:left="0" w:firstLine="0"/>
      </w:pPr>
      <w:bookmarkStart w:id="143" w:name="_Toc243558531"/>
      <w:r>
        <w:t>Project Readiness</w:t>
      </w:r>
      <w:bookmarkEnd w:id="143"/>
    </w:p>
    <w:p w14:paraId="4747D3A7" w14:textId="31D94429" w:rsidR="00674AE1" w:rsidRDefault="00674AE1" w:rsidP="00674AE1">
      <w:r>
        <w:t xml:space="preserve">Successful projects are expected to begin deployment and come online </w:t>
      </w:r>
      <w:r w:rsidR="00F24E39">
        <w:t xml:space="preserve">prior to </w:t>
      </w:r>
      <w:r w:rsidR="1AD1F821">
        <w:t>March 31, 2030</w:t>
      </w:r>
      <w:r w:rsidR="009655DC">
        <w:t>,</w:t>
      </w:r>
      <w:r w:rsidR="0049322F">
        <w:t xml:space="preserve"> and be responsive to immediate grid reliability needs</w:t>
      </w:r>
      <w:r w:rsidR="00F24E39">
        <w:t>.</w:t>
      </w:r>
    </w:p>
    <w:p w14:paraId="298F990B" w14:textId="5B80E09A" w:rsidR="00674AE1" w:rsidRDefault="00674AE1" w:rsidP="00674AE1">
      <w:pPr>
        <w:textAlignment w:val="baseline"/>
      </w:pPr>
      <w:r>
        <w:lastRenderedPageBreak/>
        <w:t>S</w:t>
      </w:r>
      <w:r w:rsidR="5E29C7A6">
        <w:t xml:space="preserve">enate </w:t>
      </w:r>
      <w:r>
        <w:t>B</w:t>
      </w:r>
      <w:r w:rsidR="608D2E50">
        <w:t>ill</w:t>
      </w:r>
      <w:r>
        <w:t xml:space="preserve"> 105 </w:t>
      </w:r>
      <w:r w:rsidRPr="00522B65">
        <w:t>requires </w:t>
      </w:r>
      <w:r>
        <w:t>that funds be encumbered (</w:t>
      </w:r>
      <w:r w:rsidR="48919830">
        <w:t>i.e</w:t>
      </w:r>
      <w:r w:rsidR="6BB75DAE">
        <w:t>.</w:t>
      </w:r>
      <w:r w:rsidR="48919830">
        <w:t xml:space="preserve"> </w:t>
      </w:r>
      <w:r>
        <w:t>approved by the CEC</w:t>
      </w:r>
      <w:r w:rsidR="3F0EB801">
        <w:t xml:space="preserve"> at a Business Meeting</w:t>
      </w:r>
      <w:r>
        <w:t>) by June 30, 2028</w:t>
      </w:r>
      <w:r w:rsidR="0A9817CB">
        <w:t xml:space="preserve">. </w:t>
      </w:r>
      <w:r w:rsidR="69F1A92C">
        <w:t>F</w:t>
      </w:r>
      <w:r w:rsidR="0A9817CB">
        <w:t>or individual awards to be approved at a CEC Business Meeting</w:t>
      </w:r>
      <w:r>
        <w:t xml:space="preserve">, CEQA and all required permitting </w:t>
      </w:r>
      <w:r w:rsidRPr="00097BC3">
        <w:rPr>
          <w:u w:val="single"/>
        </w:rPr>
        <w:t>must</w:t>
      </w:r>
      <w:r>
        <w:t xml:space="preserve"> be completed </w:t>
      </w:r>
      <w:r w:rsidR="194E87F7">
        <w:t xml:space="preserve">beforehand. </w:t>
      </w:r>
      <w:r>
        <w:t xml:space="preserve">Applications must describe how the project will minimize and mitigate risks of failure, including but not limited to how the following requirements will be met </w:t>
      </w:r>
      <w:r w:rsidDel="00D22A9A">
        <w:t>prior</w:t>
      </w:r>
      <w:r>
        <w:t xml:space="preserve"> to a CEC Business Meeting (see Section IV.E.2 “Scoring Criteria” for more information and required documentation):</w:t>
      </w:r>
    </w:p>
    <w:p w14:paraId="04EEF9A4" w14:textId="77777777" w:rsidR="00674AE1" w:rsidRDefault="00674AE1" w:rsidP="00674AE1">
      <w:pPr>
        <w:pStyle w:val="ListParagraph"/>
        <w:numPr>
          <w:ilvl w:val="0"/>
          <w:numId w:val="42"/>
        </w:numPr>
        <w:contextualSpacing w:val="0"/>
        <w:textAlignment w:val="baseline"/>
      </w:pPr>
      <w:r>
        <w:t>CEQA and land use permitting status: the Applicant should describe and substantiate the submittal of the project application to the local land use authority, including the status and expected timeline of the permitting or approval of the project and any environmental review. See Section C below for further required documentation.</w:t>
      </w:r>
    </w:p>
    <w:p w14:paraId="5EEBB65C" w14:textId="6E35ED81" w:rsidR="00674AE1" w:rsidRDefault="00674AE1" w:rsidP="003B095D">
      <w:pPr>
        <w:pStyle w:val="ListParagraph"/>
        <w:ind w:left="1080"/>
        <w:textAlignment w:val="baseline"/>
      </w:pPr>
      <w:r>
        <w:t>If the local land use authority determines that the project is either exempt from CEQA, or an existing environmental document satisfies the local agency’s requirement to analyze the environmental impacts of the project, the Applicant should provide documentation from an appropriate local building or planning official substantiating this determination, with sufficient information for the CEC to make independent findings on the project.</w:t>
      </w:r>
    </w:p>
    <w:p w14:paraId="13BFC097" w14:textId="77777777" w:rsidR="00674AE1" w:rsidRDefault="00674AE1" w:rsidP="003B095D">
      <w:pPr>
        <w:pStyle w:val="ListParagraph"/>
        <w:numPr>
          <w:ilvl w:val="0"/>
          <w:numId w:val="42"/>
        </w:numPr>
        <w:spacing w:before="240"/>
        <w:contextualSpacing w:val="0"/>
        <w:textAlignment w:val="baseline"/>
      </w:pPr>
      <w:r>
        <w:t xml:space="preserve">Fire safety permitting (for battery energy storage system projects): as applicable, the Applicant should describe the status of fire safety permitting and submit documentation from the fire marshal describing: </w:t>
      </w:r>
    </w:p>
    <w:p w14:paraId="3E4C1A2D" w14:textId="77777777" w:rsidR="00674AE1" w:rsidRDefault="00674AE1" w:rsidP="00674AE1">
      <w:pPr>
        <w:pStyle w:val="ListParagraph"/>
        <w:numPr>
          <w:ilvl w:val="2"/>
          <w:numId w:val="42"/>
        </w:numPr>
        <w:ind w:left="1620"/>
        <w:contextualSpacing w:val="0"/>
        <w:textAlignment w:val="baseline"/>
      </w:pPr>
      <w:r>
        <w:t>Protective engineering measures and other safety considerations that meet or exceed minimum codes and standards for engineered and installed BESS</w:t>
      </w:r>
    </w:p>
    <w:p w14:paraId="08950878" w14:textId="77777777" w:rsidR="00674AE1" w:rsidRDefault="00674AE1" w:rsidP="00674AE1">
      <w:pPr>
        <w:pStyle w:val="ListParagraph"/>
        <w:numPr>
          <w:ilvl w:val="2"/>
          <w:numId w:val="42"/>
        </w:numPr>
        <w:ind w:left="1620"/>
        <w:contextualSpacing w:val="0"/>
        <w:textAlignment w:val="baseline"/>
      </w:pPr>
      <w:r>
        <w:t>Initial site design layout and single-line drawing</w:t>
      </w:r>
    </w:p>
    <w:p w14:paraId="58728815" w14:textId="77777777" w:rsidR="00674AE1" w:rsidRDefault="00674AE1" w:rsidP="00674AE1">
      <w:pPr>
        <w:pStyle w:val="ListParagraph"/>
        <w:numPr>
          <w:ilvl w:val="2"/>
          <w:numId w:val="42"/>
        </w:numPr>
        <w:ind w:left="1620"/>
        <w:contextualSpacing w:val="0"/>
        <w:textAlignment w:val="baseline"/>
      </w:pPr>
      <w:r>
        <w:t>Identification of distance to location-specific sensitive receptors</w:t>
      </w:r>
    </w:p>
    <w:p w14:paraId="3CDB7914" w14:textId="77777777" w:rsidR="00674AE1" w:rsidRDefault="00674AE1" w:rsidP="00674AE1">
      <w:pPr>
        <w:pStyle w:val="ListParagraph"/>
        <w:numPr>
          <w:ilvl w:val="2"/>
          <w:numId w:val="42"/>
        </w:numPr>
        <w:ind w:left="1620"/>
        <w:contextualSpacing w:val="0"/>
        <w:textAlignment w:val="baseline"/>
      </w:pPr>
      <w:r>
        <w:t xml:space="preserve">Required </w:t>
      </w:r>
      <w:proofErr w:type="gramStart"/>
      <w:r>
        <w:t>set-backs</w:t>
      </w:r>
      <w:proofErr w:type="gramEnd"/>
      <w:r>
        <w:t xml:space="preserve"> for occupied structures</w:t>
      </w:r>
    </w:p>
    <w:p w14:paraId="4AC0B9E0" w14:textId="77777777" w:rsidR="00674AE1" w:rsidRDefault="00674AE1" w:rsidP="00674AE1">
      <w:pPr>
        <w:pStyle w:val="ListParagraph"/>
        <w:numPr>
          <w:ilvl w:val="2"/>
          <w:numId w:val="42"/>
        </w:numPr>
        <w:ind w:left="1620"/>
        <w:contextualSpacing w:val="0"/>
        <w:textAlignment w:val="baseline"/>
      </w:pPr>
      <w:r>
        <w:t>Emergency response isolation zone.</w:t>
      </w:r>
    </w:p>
    <w:p w14:paraId="5EA79666" w14:textId="5B9116E4" w:rsidR="00674AE1" w:rsidRPr="001533E8" w:rsidRDefault="00674AE1" w:rsidP="00674AE1">
      <w:pPr>
        <w:pStyle w:val="ListParagraph"/>
        <w:numPr>
          <w:ilvl w:val="0"/>
          <w:numId w:val="42"/>
        </w:numPr>
        <w:contextualSpacing w:val="0"/>
        <w:textAlignment w:val="baseline"/>
      </w:pPr>
      <w:r>
        <w:t xml:space="preserve">Utility interconnection status: as applicable, the Applicant should document status </w:t>
      </w:r>
      <w:r w:rsidRPr="00027A8A">
        <w:rPr>
          <w:szCs w:val="22"/>
        </w:rPr>
        <w:t>of any</w:t>
      </w:r>
      <w:r w:rsidRPr="007204F9">
        <w:rPr>
          <w:szCs w:val="22"/>
        </w:rPr>
        <w:t xml:space="preserve"> utility and/or balancing authority interconnection studies or approvals </w:t>
      </w:r>
      <w:r>
        <w:rPr>
          <w:szCs w:val="22"/>
        </w:rPr>
        <w:t xml:space="preserve">necessary </w:t>
      </w:r>
      <w:r w:rsidRPr="007204F9">
        <w:rPr>
          <w:szCs w:val="22"/>
        </w:rPr>
        <w:t xml:space="preserve">for the </w:t>
      </w:r>
      <w:r>
        <w:rPr>
          <w:szCs w:val="22"/>
        </w:rPr>
        <w:t>project</w:t>
      </w:r>
      <w:r w:rsidRPr="007204F9">
        <w:rPr>
          <w:szCs w:val="22"/>
        </w:rPr>
        <w:t xml:space="preserve"> to</w:t>
      </w:r>
      <w:r>
        <w:rPr>
          <w:szCs w:val="22"/>
        </w:rPr>
        <w:t xml:space="preserve"> obtain required permits and</w:t>
      </w:r>
      <w:r w:rsidRPr="007204F9">
        <w:rPr>
          <w:szCs w:val="22"/>
        </w:rPr>
        <w:t xml:space="preserve"> begin operations.</w:t>
      </w:r>
    </w:p>
    <w:p w14:paraId="5A6DEBD3" w14:textId="77777777" w:rsidR="00E71C9A" w:rsidRPr="001533E8" w:rsidRDefault="00674AE1" w:rsidP="00E71C9A">
      <w:pPr>
        <w:pStyle w:val="ListParagraph"/>
        <w:ind w:left="1080"/>
        <w:contextualSpacing w:val="0"/>
        <w:textAlignment w:val="baseline"/>
      </w:pPr>
      <w:r>
        <w:t xml:space="preserve">Applicants should indicate one </w:t>
      </w:r>
      <w:r w:rsidRPr="00225E8D">
        <w:rPr>
          <w:szCs w:val="22"/>
        </w:rPr>
        <w:t>of the following stages of interconnection that reflects the status at the time of application</w:t>
      </w:r>
      <w:r>
        <w:rPr>
          <w:szCs w:val="22"/>
        </w:rPr>
        <w:t>, as applicable to their proposed project. Higher readiness will be scored more favorably.</w:t>
      </w:r>
    </w:p>
    <w:p w14:paraId="16BAC362" w14:textId="45FCF5B0" w:rsidR="00674AE1" w:rsidRDefault="00674AE1" w:rsidP="00613C42">
      <w:pPr>
        <w:pStyle w:val="ListParagraph"/>
        <w:ind w:left="1080" w:firstLine="360"/>
        <w:contextualSpacing w:val="0"/>
        <w:textAlignment w:val="baseline"/>
        <w:rPr>
          <w:b/>
          <w:bCs/>
        </w:rPr>
      </w:pPr>
      <w:r w:rsidRPr="00D36220">
        <w:rPr>
          <w:b/>
          <w:bCs/>
        </w:rPr>
        <w:t xml:space="preserve">Tier 1 readiness: </w:t>
      </w:r>
    </w:p>
    <w:p w14:paraId="15E64A1D" w14:textId="77777777" w:rsidR="00674AE1" w:rsidRPr="00D36220" w:rsidRDefault="00674AE1" w:rsidP="00674AE1">
      <w:pPr>
        <w:pStyle w:val="ListParagraph"/>
        <w:numPr>
          <w:ilvl w:val="0"/>
          <w:numId w:val="63"/>
        </w:numPr>
        <w:ind w:left="1800"/>
        <w:contextualSpacing w:val="0"/>
        <w:textAlignment w:val="baseline"/>
      </w:pPr>
      <w:r w:rsidRPr="00D36220">
        <w:t xml:space="preserve">Signed interconnection agreement </w:t>
      </w:r>
    </w:p>
    <w:p w14:paraId="3EB60743" w14:textId="77777777" w:rsidR="00674AE1" w:rsidRPr="00D36220" w:rsidRDefault="00674AE1" w:rsidP="00613C42">
      <w:pPr>
        <w:pStyle w:val="ListParagraph"/>
        <w:keepNext/>
        <w:ind w:left="1440"/>
        <w:contextualSpacing w:val="0"/>
        <w:textAlignment w:val="baseline"/>
      </w:pPr>
      <w:r w:rsidRPr="00D36220">
        <w:rPr>
          <w:b/>
          <w:bCs/>
        </w:rPr>
        <w:lastRenderedPageBreak/>
        <w:t xml:space="preserve">Tier 2 readiness: </w:t>
      </w:r>
    </w:p>
    <w:p w14:paraId="68416F2D" w14:textId="77777777" w:rsidR="00674AE1" w:rsidRPr="00D36220" w:rsidRDefault="00674AE1" w:rsidP="00674AE1">
      <w:pPr>
        <w:pStyle w:val="ListParagraph"/>
        <w:numPr>
          <w:ilvl w:val="1"/>
          <w:numId w:val="60"/>
        </w:numPr>
        <w:tabs>
          <w:tab w:val="clear" w:pos="1440"/>
          <w:tab w:val="num" w:pos="1800"/>
        </w:tabs>
        <w:ind w:left="1800"/>
        <w:contextualSpacing w:val="0"/>
        <w:textAlignment w:val="baseline"/>
      </w:pPr>
      <w:r w:rsidRPr="00D36220">
        <w:t xml:space="preserve">BTM project: Utility has fast tracked the project or utility detailed study is complete or very near completion. </w:t>
      </w:r>
    </w:p>
    <w:p w14:paraId="31530962" w14:textId="77777777" w:rsidR="00674AE1" w:rsidRPr="00D36220" w:rsidRDefault="00674AE1" w:rsidP="00674AE1">
      <w:pPr>
        <w:pStyle w:val="ListParagraph"/>
        <w:numPr>
          <w:ilvl w:val="1"/>
          <w:numId w:val="60"/>
        </w:numPr>
        <w:ind w:left="1800"/>
        <w:contextualSpacing w:val="0"/>
        <w:textAlignment w:val="baseline"/>
      </w:pPr>
      <w:r w:rsidRPr="00D36220">
        <w:t xml:space="preserve">FTM project: </w:t>
      </w:r>
      <w:r>
        <w:t>I</w:t>
      </w:r>
      <w:r w:rsidRPr="00D36220">
        <w:t xml:space="preserve">nterconnection agreement </w:t>
      </w:r>
      <w:r>
        <w:t>is not finalized</w:t>
      </w:r>
      <w:r w:rsidRPr="00D36220">
        <w:t xml:space="preserve"> but </w:t>
      </w:r>
      <w:r>
        <w:t xml:space="preserve">Applicant </w:t>
      </w:r>
      <w:r w:rsidRPr="00D36220">
        <w:t>can demonstrate</w:t>
      </w:r>
      <w:r>
        <w:t>:</w:t>
      </w:r>
    </w:p>
    <w:p w14:paraId="599BCDFD" w14:textId="77777777" w:rsidR="00674AE1" w:rsidRPr="00D36220" w:rsidRDefault="00674AE1" w:rsidP="00674AE1">
      <w:pPr>
        <w:pStyle w:val="ListParagraph"/>
        <w:numPr>
          <w:ilvl w:val="2"/>
          <w:numId w:val="60"/>
        </w:numPr>
        <w:ind w:left="2520"/>
        <w:contextualSpacing w:val="0"/>
        <w:textAlignment w:val="baseline"/>
      </w:pPr>
      <w:r>
        <w:t>Project</w:t>
      </w:r>
      <w:r w:rsidRPr="00D36220">
        <w:t xml:space="preserve"> </w:t>
      </w:r>
      <w:r>
        <w:t xml:space="preserve">has made substantial progress through the interconnection </w:t>
      </w:r>
      <w:r w:rsidRPr="00D36220">
        <w:t>process</w:t>
      </w:r>
      <w:r>
        <w:t xml:space="preserve"> and likelihood of executing interconnection agreement is high, or</w:t>
      </w:r>
    </w:p>
    <w:p w14:paraId="493A5780" w14:textId="77777777" w:rsidR="00674AE1" w:rsidRPr="00D36220" w:rsidRDefault="00674AE1" w:rsidP="00674AE1">
      <w:pPr>
        <w:pStyle w:val="ListParagraph"/>
        <w:numPr>
          <w:ilvl w:val="2"/>
          <w:numId w:val="60"/>
        </w:numPr>
        <w:ind w:left="2520"/>
        <w:contextualSpacing w:val="0"/>
        <w:textAlignment w:val="baseline"/>
      </w:pPr>
      <w:r w:rsidRPr="00D36220">
        <w:t xml:space="preserve">Project utilizes existing </w:t>
      </w:r>
      <w:r>
        <w:t xml:space="preserve">interconnection </w:t>
      </w:r>
      <w:r w:rsidRPr="00D36220">
        <w:t xml:space="preserve">capacity or </w:t>
      </w:r>
      <w:r>
        <w:t xml:space="preserve">is designed to be </w:t>
      </w:r>
      <w:r w:rsidRPr="00D36220">
        <w:t xml:space="preserve">non-exporting </w:t>
      </w:r>
      <w:r>
        <w:t>to avoid impacts on the distribution grid</w:t>
      </w:r>
      <w:r w:rsidRPr="00D36220">
        <w:t>.</w:t>
      </w:r>
    </w:p>
    <w:p w14:paraId="5E3B9540" w14:textId="77777777" w:rsidR="00674AE1" w:rsidRPr="00D36220" w:rsidRDefault="00674AE1" w:rsidP="00613C42">
      <w:pPr>
        <w:pStyle w:val="ListParagraph"/>
        <w:ind w:left="1440"/>
        <w:contextualSpacing w:val="0"/>
        <w:textAlignment w:val="baseline"/>
      </w:pPr>
      <w:r w:rsidRPr="00D36220">
        <w:rPr>
          <w:b/>
          <w:bCs/>
        </w:rPr>
        <w:t>Tier 3 readiness: </w:t>
      </w:r>
    </w:p>
    <w:p w14:paraId="2ED9AA98" w14:textId="77777777" w:rsidR="00674AE1" w:rsidRPr="00D36220" w:rsidRDefault="00674AE1" w:rsidP="00674AE1">
      <w:pPr>
        <w:pStyle w:val="ListParagraph"/>
        <w:numPr>
          <w:ilvl w:val="0"/>
          <w:numId w:val="61"/>
        </w:numPr>
        <w:ind w:left="1800"/>
        <w:contextualSpacing w:val="0"/>
        <w:textAlignment w:val="baseline"/>
      </w:pPr>
      <w:r>
        <w:t>U</w:t>
      </w:r>
      <w:r w:rsidRPr="00D36220">
        <w:t xml:space="preserve">tility interconnection pre-application report </w:t>
      </w:r>
      <w:r>
        <w:t xml:space="preserve">indicates </w:t>
      </w:r>
      <w:r w:rsidRPr="00D36220">
        <w:t>a high likelihood the project will be fast tracked.</w:t>
      </w:r>
    </w:p>
    <w:p w14:paraId="6F7243BC" w14:textId="77777777" w:rsidR="00674AE1" w:rsidRDefault="00674AE1" w:rsidP="00674AE1">
      <w:pPr>
        <w:pStyle w:val="ListParagraph"/>
        <w:numPr>
          <w:ilvl w:val="0"/>
          <w:numId w:val="61"/>
        </w:numPr>
        <w:ind w:left="1800"/>
        <w:contextualSpacing w:val="0"/>
        <w:textAlignment w:val="baseline"/>
      </w:pPr>
      <w:r w:rsidRPr="00D36220">
        <w:t xml:space="preserve">Applicant </w:t>
      </w:r>
      <w:r>
        <w:t xml:space="preserve">can </w:t>
      </w:r>
      <w:r w:rsidRPr="00D36220">
        <w:t>demonstrate the project is likely to be fast tracked</w:t>
      </w:r>
      <w:r>
        <w:t xml:space="preserve"> (f</w:t>
      </w:r>
      <w:r w:rsidRPr="00D36220">
        <w:t xml:space="preserve">or example, the project is </w:t>
      </w:r>
      <w:r>
        <w:t xml:space="preserve">designed to be </w:t>
      </w:r>
      <w:r w:rsidRPr="00D36220">
        <w:t xml:space="preserve">non-exporting, or </w:t>
      </w:r>
      <w:r>
        <w:t xml:space="preserve">project </w:t>
      </w:r>
      <w:r w:rsidRPr="00D36220">
        <w:t>is located on a circuit with available capacity</w:t>
      </w:r>
      <w:r>
        <w:t>)</w:t>
      </w:r>
      <w:r w:rsidRPr="00D36220">
        <w:t>.</w:t>
      </w:r>
    </w:p>
    <w:p w14:paraId="324A0FA1" w14:textId="25D93435" w:rsidR="005115BF" w:rsidRPr="005115BF" w:rsidRDefault="005115BF" w:rsidP="005115BF">
      <w:pPr>
        <w:tabs>
          <w:tab w:val="left" w:pos="3780"/>
        </w:tabs>
      </w:pPr>
      <w:r>
        <w:tab/>
      </w:r>
    </w:p>
    <w:p w14:paraId="0D9D7E2F" w14:textId="77777777" w:rsidR="00674AE1" w:rsidRDefault="00674AE1" w:rsidP="00674AE1">
      <w:pPr>
        <w:textAlignment w:val="baseline"/>
      </w:pPr>
      <w:r>
        <w:t>The Applicant</w:t>
      </w:r>
      <w:r w:rsidRPr="00522B65">
        <w:t xml:space="preserve"> should </w:t>
      </w:r>
      <w:r>
        <w:t>describe the anticipated CEQA and permitting timeline</w:t>
      </w:r>
      <w:r w:rsidRPr="00522B65">
        <w:t xml:space="preserve"> </w:t>
      </w:r>
      <w:r>
        <w:t xml:space="preserve">in the Project Schedule (Attachment 05) </w:t>
      </w:r>
      <w:r w:rsidRPr="00522B65">
        <w:t xml:space="preserve">and </w:t>
      </w:r>
      <w:r>
        <w:t>Project N</w:t>
      </w:r>
      <w:r w:rsidRPr="00522B65">
        <w:t xml:space="preserve">arrative </w:t>
      </w:r>
      <w:r>
        <w:t>(Attachment 02),</w:t>
      </w:r>
      <w:r w:rsidRPr="00522B65">
        <w:t xml:space="preserve"> </w:t>
      </w:r>
      <w:r>
        <w:t xml:space="preserve">complete and submit the CEQA Compliance Form (Attachment 07), and </w:t>
      </w:r>
      <w:r w:rsidRPr="00522B65">
        <w:t xml:space="preserve">provide </w:t>
      </w:r>
      <w:r>
        <w:t xml:space="preserve">documentation from the lead agency, fire marshal (if applicable), and the utility and/or balancing authority (if applicable). Letters should be attached to the CEQA Compliance Form (Attachment 07) and marked as submitted in the Project Readiness Checklist (Attachment 12). </w:t>
      </w:r>
    </w:p>
    <w:p w14:paraId="6DFE805A" w14:textId="77777777" w:rsidR="00674AE1" w:rsidRDefault="00674AE1" w:rsidP="00674AE1">
      <w:r w:rsidRPr="000F45D2">
        <w:t xml:space="preserve">Applications with geographically distinct subprojects </w:t>
      </w:r>
      <w:r>
        <w:t>must</w:t>
      </w:r>
      <w:r w:rsidRPr="000F45D2">
        <w:t xml:space="preserve"> complete</w:t>
      </w:r>
      <w:r>
        <w:t xml:space="preserve"> and submit a separate</w:t>
      </w:r>
      <w:r w:rsidRPr="000F45D2">
        <w:t xml:space="preserve"> CEQA Compliance Form for each geographically distinct subproject. </w:t>
      </w:r>
    </w:p>
    <w:p w14:paraId="578EEE23" w14:textId="77777777" w:rsidR="00674AE1" w:rsidRDefault="00674AE1" w:rsidP="00674AE1">
      <w:pPr>
        <w:textAlignment w:val="baseline"/>
      </w:pPr>
      <w:r>
        <w:t xml:space="preserve">The Applicant should indicate if the proposed site should be reviewed by a local building or planning official for categorical or statutory CEQA exemptions – including but not limited to projects located in a </w:t>
      </w:r>
      <w:r w:rsidRPr="00612E9C">
        <w:t>fire-affected area of Los Angeles and Ventura Counties </w:t>
      </w:r>
      <w:r>
        <w:t>addressed</w:t>
      </w:r>
      <w:r w:rsidRPr="00612E9C">
        <w:t xml:space="preserve"> by </w:t>
      </w:r>
      <w:r w:rsidRPr="00A74304">
        <w:t>Executive Order N-4-25</w:t>
      </w:r>
      <w:r>
        <w:rPr>
          <w:rStyle w:val="FootnoteReference"/>
        </w:rPr>
        <w:footnoteReference w:id="22"/>
      </w:r>
      <w:r>
        <w:t xml:space="preserve"> or on tribal lands. </w:t>
      </w:r>
    </w:p>
    <w:p w14:paraId="21528EDB" w14:textId="6CBBE9BF" w:rsidR="00674AE1" w:rsidRDefault="00674AE1" w:rsidP="00674AE1">
      <w:r>
        <w:t>The Applicant m</w:t>
      </w:r>
      <w:r w:rsidRPr="00272278">
        <w:t xml:space="preserve">ust comply with </w:t>
      </w:r>
      <w:r>
        <w:t xml:space="preserve">applicable </w:t>
      </w:r>
      <w:r w:rsidRPr="00272278">
        <w:t>codes, interconnection requirements</w:t>
      </w:r>
      <w:r>
        <w:t>,</w:t>
      </w:r>
      <w:r w:rsidRPr="00272278">
        <w:t xml:space="preserve"> UL certifications, and other standards such as</w:t>
      </w:r>
      <w:r>
        <w:t xml:space="preserve"> the</w:t>
      </w:r>
      <w:r w:rsidRPr="00272278">
        <w:t xml:space="preserve"> California </w:t>
      </w:r>
      <w:r w:rsidR="7820A3FC">
        <w:t>E</w:t>
      </w:r>
      <w:r>
        <w:t xml:space="preserve">lectric </w:t>
      </w:r>
      <w:r w:rsidR="4549F749">
        <w:t>C</w:t>
      </w:r>
      <w:r w:rsidRPr="00272278">
        <w:t xml:space="preserve">ode, National Electric Code, </w:t>
      </w:r>
      <w:r>
        <w:t xml:space="preserve">and </w:t>
      </w:r>
      <w:r w:rsidRPr="00272278">
        <w:t>local and state fire marshal codes</w:t>
      </w:r>
      <w:r w:rsidR="4389022A">
        <w:t xml:space="preserve"> based on the N</w:t>
      </w:r>
      <w:r w:rsidR="27C389EF">
        <w:t>ational Fire Protection Association (N</w:t>
      </w:r>
      <w:r w:rsidR="4389022A">
        <w:t>FPA</w:t>
      </w:r>
      <w:r w:rsidR="19C742DA">
        <w:t>) standards</w:t>
      </w:r>
      <w:r>
        <w:t>.</w:t>
      </w:r>
      <w:r w:rsidRPr="00272278">
        <w:t xml:space="preserve"> </w:t>
      </w:r>
      <w:r>
        <w:t>The Applicant m</w:t>
      </w:r>
      <w:r w:rsidRPr="00272278">
        <w:t xml:space="preserve">ust acquire all necessary permits </w:t>
      </w:r>
      <w:r w:rsidRPr="00272278" w:rsidDel="00FF2BFD">
        <w:t>and perform load calculations</w:t>
      </w:r>
      <w:r>
        <w:t xml:space="preserve"> </w:t>
      </w:r>
      <w:r w:rsidRPr="00272278">
        <w:t>to ensure system is safely installed.</w:t>
      </w:r>
      <w:r>
        <w:t xml:space="preserve"> </w:t>
      </w:r>
    </w:p>
    <w:p w14:paraId="773F2EBD" w14:textId="77777777" w:rsidR="00674AE1" w:rsidRPr="009F6FFB" w:rsidRDefault="00674AE1" w:rsidP="0057615A">
      <w:pPr>
        <w:pStyle w:val="Heading3"/>
        <w:ind w:left="0"/>
      </w:pPr>
      <w:bookmarkStart w:id="144" w:name="_Toc243558532"/>
      <w:r>
        <w:lastRenderedPageBreak/>
        <w:t>Environmental Review Requirements</w:t>
      </w:r>
      <w:bookmarkEnd w:id="144"/>
    </w:p>
    <w:p w14:paraId="4DF0F7EE" w14:textId="00032FC3" w:rsidR="00674AE1" w:rsidRDefault="00674AE1" w:rsidP="00674AE1">
      <w:r>
        <w:t xml:space="preserve">For all discretionary funding awards including the grants to be awarded under this solicitation, the CEC must comply with the California Environmental Quality Act (CEQA) and other requirements. Due to the nature of the projects to be prioritized by this funding and the associated encumbrance deadlines, </w:t>
      </w:r>
      <w:r w:rsidRPr="00D92886">
        <w:rPr>
          <w:b/>
        </w:rPr>
        <w:t>the CEC will prioritize projects where there is a local or other state agency serving as the Lead Agency under CEQA</w:t>
      </w:r>
      <w:r w:rsidR="57BDF938" w:rsidRPr="4FF2D6B6">
        <w:rPr>
          <w:b/>
          <w:bCs/>
        </w:rPr>
        <w:t xml:space="preserve"> </w:t>
      </w:r>
      <w:r w:rsidR="57BDF938" w:rsidRPr="3849CE63">
        <w:rPr>
          <w:b/>
          <w:bCs/>
        </w:rPr>
        <w:t>that has prepared</w:t>
      </w:r>
      <w:r w:rsidRPr="00D92886">
        <w:rPr>
          <w:b/>
        </w:rPr>
        <w:t xml:space="preserve"> existing environmental documentation that the CEC can rely upon under CEQA to make its own independent findings as a Responsible Agency.</w:t>
      </w:r>
      <w:r>
        <w:t xml:space="preserve"> This section provides detailed guidance for Applicants to demonstrate their project readiness related to CEQA and local permitting.</w:t>
      </w:r>
    </w:p>
    <w:p w14:paraId="30643543" w14:textId="77777777" w:rsidR="00674AE1" w:rsidRPr="00954BD6" w:rsidRDefault="00674AE1">
      <w:pPr>
        <w:pStyle w:val="Heading4"/>
        <w:numPr>
          <w:ilvl w:val="0"/>
          <w:numId w:val="72"/>
        </w:numPr>
        <w:ind w:left="360"/>
      </w:pPr>
      <w:bookmarkStart w:id="145" w:name="_Toc243558533"/>
      <w:r w:rsidRPr="00954BD6">
        <w:t>Environmental Review</w:t>
      </w:r>
      <w:bookmarkEnd w:id="145"/>
    </w:p>
    <w:p w14:paraId="0F5C0FFA" w14:textId="77777777" w:rsidR="00674AE1" w:rsidRDefault="00674AE1" w:rsidP="00674AE1">
      <w:r w:rsidRPr="00924359">
        <w:t xml:space="preserve">Prior to </w:t>
      </w:r>
      <w:r>
        <w:t>approving</w:t>
      </w:r>
      <w:r w:rsidRPr="00924359">
        <w:t xml:space="preserve"> the grant and encumbrance of funds, the CEC must comply with the California Environmental Quality Act (CEQA) (California Public Resources Code Section</w:t>
      </w:r>
      <w:r>
        <w:t>s</w:t>
      </w:r>
      <w:r w:rsidRPr="00924359">
        <w:t xml:space="preserve"> 21000 </w:t>
      </w:r>
      <w:r w:rsidRPr="00D92886">
        <w:rPr>
          <w:i/>
        </w:rPr>
        <w:t>et seq.</w:t>
      </w:r>
      <w:r w:rsidRPr="00924359">
        <w:t>) and the administrative regulations, known as the CEQA Guidelines (California Code of Regulations, title 14, section</w:t>
      </w:r>
      <w:r>
        <w:t>s</w:t>
      </w:r>
      <w:r w:rsidRPr="00924359">
        <w:t xml:space="preserve"> 15000 </w:t>
      </w:r>
      <w:r w:rsidRPr="00D92886">
        <w:rPr>
          <w:i/>
        </w:rPr>
        <w:t>et seq.</w:t>
      </w:r>
      <w:r w:rsidRPr="00924359">
        <w:t xml:space="preserve">) (collectively, CEQA) and other requirements. CEQA requires the CEC to consider the potential environmental impacts of its discretionary actions, such as entering into grant agreements. Per California Code of Regulations, title 14, section 15378, “project” means </w:t>
      </w:r>
      <w:r>
        <w:t>“</w:t>
      </w:r>
      <w:r w:rsidRPr="00924359">
        <w:t xml:space="preserve">the whole of an action, which has a potential for resulting in either a direct physical change in the environment, or a reasonably foreseeable indirect physical change in the environment.” </w:t>
      </w:r>
    </w:p>
    <w:p w14:paraId="59DDABFB" w14:textId="77777777" w:rsidR="00674AE1" w:rsidRDefault="00674AE1" w:rsidP="00674AE1">
      <w:r w:rsidRPr="00924359">
        <w:t xml:space="preserve">To comply with CEQA, the CEC must have </w:t>
      </w:r>
      <w:r>
        <w:t>sufficient</w:t>
      </w:r>
      <w:r w:rsidRPr="00924359">
        <w:t xml:space="preserve"> CEQA-related information from applicants</w:t>
      </w:r>
      <w:r>
        <w:t xml:space="preserve"> to enable the CEC to make CEQA findings prior to approving a funding award</w:t>
      </w:r>
      <w:r w:rsidRPr="00924359">
        <w:t>. In some cases, applicants will already have project approvals from a local agency such as a city or county</w:t>
      </w:r>
      <w:r>
        <w:t>, which has evaluated the project as the Lead Agency under CEQA</w:t>
      </w:r>
      <w:r w:rsidRPr="00924359">
        <w:t xml:space="preserve">. In those cases, the CEC may be </w:t>
      </w:r>
      <w:r>
        <w:t xml:space="preserve">able to rely upon </w:t>
      </w:r>
      <w:r w:rsidRPr="00924359">
        <w:t xml:space="preserve">the environmental </w:t>
      </w:r>
      <w:r>
        <w:t xml:space="preserve">analysis and </w:t>
      </w:r>
      <w:r w:rsidRPr="00924359">
        <w:t xml:space="preserve">determination made by the local agency. </w:t>
      </w:r>
    </w:p>
    <w:p w14:paraId="281BA4EF" w14:textId="77777777" w:rsidR="00674AE1" w:rsidRPr="00924359" w:rsidRDefault="00674AE1" w:rsidP="00674AE1">
      <w:r w:rsidRPr="00924359">
        <w:t xml:space="preserve">The best evidence of CEQA compliance is a Notice of Determination, which shows that the </w:t>
      </w:r>
      <w:r>
        <w:t>L</w:t>
      </w:r>
      <w:r w:rsidRPr="00924359">
        <w:t xml:space="preserve">ead </w:t>
      </w:r>
      <w:r>
        <w:t>A</w:t>
      </w:r>
      <w:r w:rsidRPr="00924359">
        <w:t>gency completed and adopted a negative declaration, a mitigated negative declaration, or an environmental impact report</w:t>
      </w:r>
      <w:r>
        <w:t>, together with specific mitigation measures to avoid or minimize significant environmental impacts</w:t>
      </w:r>
      <w:r w:rsidRPr="00924359">
        <w:t xml:space="preserve">. </w:t>
      </w:r>
    </w:p>
    <w:p w14:paraId="47933C1E" w14:textId="77777777" w:rsidR="00674AE1" w:rsidRDefault="00674AE1" w:rsidP="00674AE1">
      <w:r w:rsidRPr="00924359">
        <w:t xml:space="preserve">In some cases, a </w:t>
      </w:r>
      <w:r>
        <w:t>local</w:t>
      </w:r>
      <w:r w:rsidRPr="00924359">
        <w:t xml:space="preserve"> </w:t>
      </w:r>
      <w:r>
        <w:t>L</w:t>
      </w:r>
      <w:r w:rsidRPr="00924359">
        <w:t xml:space="preserve">ead </w:t>
      </w:r>
      <w:r>
        <w:t>Agency</w:t>
      </w:r>
      <w:r w:rsidRPr="00924359">
        <w:t xml:space="preserve"> will determine that a project falls </w:t>
      </w:r>
      <w:r>
        <w:t>within</w:t>
      </w:r>
      <w:r w:rsidRPr="00924359">
        <w:t xml:space="preserve"> </w:t>
      </w:r>
      <w:r>
        <w:t xml:space="preserve">a statutory or categorical exemption </w:t>
      </w:r>
      <w:r w:rsidRPr="00924359">
        <w:t xml:space="preserve">under CEQA. The finding of an exemption is typically documented by a Notice of Exemption. </w:t>
      </w:r>
    </w:p>
    <w:p w14:paraId="767615D3" w14:textId="0526DAAB" w:rsidR="00674AE1" w:rsidRPr="00924359" w:rsidRDefault="00674AE1" w:rsidP="00674AE1">
      <w:r>
        <w:t>However, to the extent that the Notice of Exemption was either not filed with the State Clearinghouse or was based on the characterization of the project as “ministerial,” the CEC will likely not be able to rely on that local determination. This scenario</w:t>
      </w:r>
      <w:r w:rsidDel="00104374">
        <w:t xml:space="preserve"> </w:t>
      </w:r>
      <w:r>
        <w:t xml:space="preserve">would render the CEC as a Lead Agency over the discretionary decision to fund the project; the CEC’s time and resources to assume Lead Agency responsibilities may not be available. In this circumstance, the Applicant must include additional technical project information than normally required in a grant application to enable the CEC to determine the level of environmental review necessary to enter into the grant </w:t>
      </w:r>
      <w:r>
        <w:lastRenderedPageBreak/>
        <w:t xml:space="preserve">agreement. If the application does not include sufficient technical information and substantiation about the project description, the existing or pending environmental review, and the local permitting, the Application </w:t>
      </w:r>
      <w:r w:rsidR="00565488">
        <w:t xml:space="preserve">may </w:t>
      </w:r>
      <w:r>
        <w:t xml:space="preserve">fail the Phase I Application Screening or be deemed to lack project readiness in Phase II Application Scoring. Similarly, if there is no other Lead Agency for the project, and the application suggests that a Negative Declaration, Mitigated Declaration, or Environmental Impact Report would need to be prepared, the CEC may deem the project to lack project readiness, due to the time and resources necessary to comply with CEQA.  </w:t>
      </w:r>
    </w:p>
    <w:p w14:paraId="2B303212" w14:textId="096A8988" w:rsidR="00674AE1" w:rsidRPr="00740D55" w:rsidRDefault="00674AE1">
      <w:pPr>
        <w:pStyle w:val="Heading4"/>
        <w:numPr>
          <w:ilvl w:val="0"/>
          <w:numId w:val="72"/>
        </w:numPr>
        <w:ind w:left="360"/>
      </w:pPr>
      <w:bookmarkStart w:id="146" w:name="_Toc243558534"/>
      <w:r>
        <w:t>CEQA</w:t>
      </w:r>
      <w:r w:rsidR="007C03C6">
        <w:t>-</w:t>
      </w:r>
      <w:r>
        <w:t xml:space="preserve">Related Right to Reject an </w:t>
      </w:r>
      <w:proofErr w:type="gramStart"/>
      <w:r>
        <w:t>Application</w:t>
      </w:r>
      <w:proofErr w:type="gramEnd"/>
      <w:r>
        <w:t xml:space="preserve"> or Cancel </w:t>
      </w:r>
      <w:r w:rsidR="009655DC">
        <w:t xml:space="preserve">a </w:t>
      </w:r>
      <w:r>
        <w:t>Proposed Award</w:t>
      </w:r>
      <w:bookmarkEnd w:id="146"/>
    </w:p>
    <w:p w14:paraId="72FD9E19" w14:textId="59AFE9E5" w:rsidR="00674AE1" w:rsidRPr="00924359" w:rsidRDefault="00674AE1" w:rsidP="00674AE1">
      <w:r>
        <w:t>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CEC’s ability to meet its encumbrance deadline may thereby be jeopardized, the CEC may reject an application or cancel a proposed award and award funds to the next highest scoring applicant, regardless of the applicant’s diligence in submitting information and materials for CEQA review. Examples of situations that may arise related to CEQA review include but are not limited to:</w:t>
      </w:r>
    </w:p>
    <w:p w14:paraId="06A722D1" w14:textId="77777777" w:rsidR="00674AE1" w:rsidRPr="00924359" w:rsidRDefault="00674AE1" w:rsidP="00674AE1">
      <w:pPr>
        <w:ind w:left="630"/>
        <w:rPr>
          <w:color w:val="000000" w:themeColor="text1"/>
        </w:rPr>
      </w:pPr>
      <w:r w:rsidRPr="6BA46A70">
        <w:rPr>
          <w:color w:val="000000" w:themeColor="text1"/>
        </w:rPr>
        <w:t>Example 1: If another state agency or local jurisdiction, such as a city or county, has taken the role of Lead Agency under CEQA, please provide evidence of the completed CEQA review (i.e., Notice of Exemption or Notice of Determination, and all adopted environmental documents and mitigation and monitoring requirements).</w:t>
      </w:r>
    </w:p>
    <w:p w14:paraId="54EF579C" w14:textId="77777777" w:rsidR="00674AE1" w:rsidRPr="00924359" w:rsidRDefault="00674AE1" w:rsidP="00674AE1">
      <w:pPr>
        <w:spacing w:line="259" w:lineRule="auto"/>
        <w:ind w:left="630"/>
        <w:rPr>
          <w:color w:val="000000" w:themeColor="text1"/>
        </w:rPr>
      </w:pPr>
      <w:r w:rsidRPr="6BA46A70">
        <w:rPr>
          <w:color w:val="000000" w:themeColor="text1"/>
        </w:rPr>
        <w:t>Example 2: If another state agency or local jurisdiction, such as a city or county, has taken the role of Lead Agency under CEQA but has not yet filed the Notice of Exemption or Notice of Determination with the State Clearinghouse or County Clerk’s Office in which the project is located, please provide detailed information about the scope and status of that agency’s permitting and environmental review, together with a letter from the building, planning, or permitting official substantiating the agency’s status and anticipated timeline.</w:t>
      </w:r>
    </w:p>
    <w:p w14:paraId="0A40B9DC" w14:textId="2A0814AC" w:rsidR="00674AE1" w:rsidRPr="00924359" w:rsidRDefault="00674AE1" w:rsidP="00674AE1">
      <w:pPr>
        <w:ind w:left="630"/>
      </w:pPr>
      <w:r w:rsidRPr="6BA46A70">
        <w:rPr>
          <w:color w:val="000000" w:themeColor="text1"/>
        </w:rPr>
        <w:t xml:space="preserve">Example 3: If the proposed work is part of a larger project for which a detailed environmental analysis has been or will be prepared by another state agency or local jurisdiction, please provide detailed information about the scope and status of that agency’s permitting and environmental review, together with a letter from the building, planning, or permitting official substantiating the agency’s status and anticipated timeline. Please indicate if the other agency believes the proposed project falls within an existing environmental determination, and what type of supplemental analysis or addendum may be prepared. </w:t>
      </w:r>
    </w:p>
    <w:p w14:paraId="7D00D189" w14:textId="1F3971AA" w:rsidR="00674AE1" w:rsidRPr="00924359" w:rsidRDefault="00674AE1" w:rsidP="00674AE1">
      <w:pPr>
        <w:ind w:left="630"/>
        <w:rPr>
          <w:color w:val="000000" w:themeColor="text1"/>
        </w:rPr>
      </w:pPr>
      <w:r w:rsidRPr="6BA46A70">
        <w:rPr>
          <w:color w:val="000000" w:themeColor="text1"/>
        </w:rPr>
        <w:t xml:space="preserve">Example 4: If the nature of the proposed work is such that a project is not exempt from the requirements of CEQA, the CEC’s review or the Lead Agency’s </w:t>
      </w:r>
      <w:r w:rsidRPr="6BA46A70">
        <w:rPr>
          <w:color w:val="000000" w:themeColor="text1"/>
        </w:rPr>
        <w:lastRenderedPageBreak/>
        <w:t>review may take longer than the time available to encumber the funds. If a negative declaration, mitigated negative declaration, environmental impact report, or similar document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23737B1E" w14:textId="77777777" w:rsidR="00674AE1" w:rsidRPr="00924359" w:rsidRDefault="00674AE1" w:rsidP="00674AE1">
      <w:pPr>
        <w:rPr>
          <w:color w:val="000000" w:themeColor="text1"/>
        </w:rPr>
      </w:pPr>
      <w:r w:rsidRPr="0BCD429D">
        <w:rPr>
          <w:color w:val="000000" w:themeColor="text1"/>
        </w:rPr>
        <w:t xml:space="preserve">The above examples are not exhaustive of instances in which compliance with CEQA may or may not be able to be </w:t>
      </w:r>
      <w:r w:rsidRPr="597C4B5A">
        <w:rPr>
          <w:color w:val="000000" w:themeColor="text1"/>
        </w:rPr>
        <w:t xml:space="preserve">completed </w:t>
      </w:r>
      <w:r w:rsidRPr="0BCD429D">
        <w:rPr>
          <w:color w:val="000000" w:themeColor="text1"/>
        </w:rPr>
        <w:t xml:space="preserve">within the encumbrance deadline and </w:t>
      </w:r>
      <w:r w:rsidRPr="21C6600C">
        <w:rPr>
          <w:color w:val="000000" w:themeColor="text1"/>
        </w:rPr>
        <w:t xml:space="preserve">due to lack of time and </w:t>
      </w:r>
      <w:proofErr w:type="gramStart"/>
      <w:r w:rsidRPr="21C6600C">
        <w:rPr>
          <w:color w:val="000000" w:themeColor="text1"/>
        </w:rPr>
        <w:t>resources, and</w:t>
      </w:r>
      <w:proofErr w:type="gramEnd"/>
      <w:r w:rsidRPr="21C6600C">
        <w:rPr>
          <w:color w:val="000000" w:themeColor="text1"/>
        </w:rPr>
        <w:t xml:space="preserve"> </w:t>
      </w:r>
      <w:r w:rsidRPr="0BCD429D">
        <w:rPr>
          <w:color w:val="000000" w:themeColor="text1"/>
        </w:rPr>
        <w:t xml:space="preserve">are only provided as further clarification for potential </w:t>
      </w:r>
      <w:r w:rsidRPr="21C6600C">
        <w:rPr>
          <w:color w:val="000000" w:themeColor="text1"/>
        </w:rPr>
        <w:t>A</w:t>
      </w:r>
      <w:r w:rsidRPr="0BCD429D">
        <w:rPr>
          <w:color w:val="000000" w:themeColor="text1"/>
        </w:rPr>
        <w:t xml:space="preserve">pplicants. Applicants are encouraged to contact potential </w:t>
      </w:r>
      <w:r w:rsidRPr="21C6600C">
        <w:rPr>
          <w:color w:val="000000" w:themeColor="text1"/>
        </w:rPr>
        <w:t>L</w:t>
      </w:r>
      <w:r w:rsidRPr="0BCD429D">
        <w:rPr>
          <w:color w:val="000000" w:themeColor="text1"/>
        </w:rPr>
        <w:t xml:space="preserve">ead and </w:t>
      </w:r>
      <w:r w:rsidRPr="21C6600C">
        <w:rPr>
          <w:color w:val="000000" w:themeColor="text1"/>
        </w:rPr>
        <w:t>R</w:t>
      </w:r>
      <w:r w:rsidRPr="0BCD429D">
        <w:rPr>
          <w:color w:val="000000" w:themeColor="text1"/>
        </w:rPr>
        <w:t>esponsible agencies under CEQA as early as possible. Please plan applications accordingly.</w:t>
      </w:r>
    </w:p>
    <w:p w14:paraId="2046FB9A" w14:textId="77777777" w:rsidR="00674AE1" w:rsidRPr="004D6236" w:rsidRDefault="00674AE1">
      <w:pPr>
        <w:pStyle w:val="Heading4"/>
        <w:numPr>
          <w:ilvl w:val="0"/>
          <w:numId w:val="72"/>
        </w:numPr>
        <w:ind w:left="360"/>
      </w:pPr>
      <w:bookmarkStart w:id="147" w:name="_Toc243558535"/>
      <w:r w:rsidRPr="004D6236">
        <w:t>Environmental Review of Projects Proposed on Tribal Lands</w:t>
      </w:r>
      <w:bookmarkEnd w:id="147"/>
    </w:p>
    <w:p w14:paraId="5E2F0448" w14:textId="77777777" w:rsidR="00674AE1" w:rsidRPr="00924359" w:rsidRDefault="00674AE1" w:rsidP="00674AE1">
      <w:r w:rsidRPr="00924359">
        <w:t xml:space="preserve">If the project will be located on the lands of a tribe or nation, the tribe or nation may be able to provide evidence of environmental review that was not conducted under CEQA. In those cases, the CEC will need to review the documentation of environmental review under the relevant tribal or other authority, such as the National Environmental Policy Act (NEPA) or a tribally adopted ordinance regarding environmental review. </w:t>
      </w:r>
    </w:p>
    <w:p w14:paraId="4CC426FB" w14:textId="77777777" w:rsidR="00674AE1" w:rsidRPr="009C2DAA" w:rsidRDefault="00674AE1">
      <w:pPr>
        <w:pStyle w:val="Heading4"/>
        <w:numPr>
          <w:ilvl w:val="0"/>
          <w:numId w:val="72"/>
        </w:numPr>
        <w:ind w:left="360"/>
      </w:pPr>
      <w:bookmarkStart w:id="148" w:name="_Toc243558536"/>
      <w:r w:rsidRPr="006F40F9">
        <w:t>Environmental Review of Projects Proposed on Federal Lands</w:t>
      </w:r>
      <w:bookmarkEnd w:id="148"/>
    </w:p>
    <w:p w14:paraId="1C184972" w14:textId="77777777" w:rsidR="00674AE1" w:rsidRPr="00924359" w:rsidRDefault="00674AE1" w:rsidP="00674AE1">
      <w:r w:rsidRPr="00924359">
        <w:t xml:space="preserve">If the project will be located on federally owned land, the grant applicant may be able to provide evidence of environmental review that was not conducted under CEQA. In those cases, the CEC will need to review the documentation of environmental review under the National Environmental Policy Act (NEPA). </w:t>
      </w:r>
    </w:p>
    <w:p w14:paraId="6AC66138" w14:textId="77777777" w:rsidR="00674AE1" w:rsidRDefault="00674AE1" w:rsidP="0057615A">
      <w:pPr>
        <w:pStyle w:val="Heading3"/>
        <w:ind w:left="0"/>
      </w:pPr>
      <w:bookmarkStart w:id="149" w:name="_Toc243558537"/>
      <w:r w:rsidRPr="00292D0C">
        <w:t>CEC’s Rights and Remedies</w:t>
      </w:r>
      <w:bookmarkEnd w:id="149"/>
    </w:p>
    <w:p w14:paraId="0BEDCBFF" w14:textId="77777777" w:rsidR="00F748FC" w:rsidRDefault="00674AE1" w:rsidP="00F748FC">
      <w:pPr>
        <w:spacing w:after="10000"/>
      </w:pPr>
      <w:r>
        <w:t xml:space="preserve">Any evaluation or decisional process </w:t>
      </w:r>
      <w:r w:rsidRPr="00292D0C">
        <w:t>explained in this solicitation is in addition to, and does not restrict, any other rights and remedies available to the CEC.</w:t>
      </w:r>
      <w:bookmarkStart w:id="150" w:name="_Toc219275109"/>
      <w:bookmarkStart w:id="151" w:name="_Toc336443626"/>
      <w:bookmarkStart w:id="152" w:name="_Toc366671182"/>
      <w:bookmarkStart w:id="153" w:name="_Toc177403893"/>
      <w:bookmarkStart w:id="154" w:name="_Toc219275098"/>
      <w:bookmarkEnd w:id="114"/>
      <w:bookmarkEnd w:id="115"/>
      <w:bookmarkEnd w:id="116"/>
      <w:bookmarkEnd w:id="117"/>
    </w:p>
    <w:p w14:paraId="471BC0AE" w14:textId="5FE26948" w:rsidR="00674AE1" w:rsidRPr="00CF6DED" w:rsidRDefault="00674AE1" w:rsidP="00F748FC">
      <w:pPr>
        <w:pStyle w:val="Heading2"/>
      </w:pPr>
      <w:bookmarkStart w:id="155" w:name="_Toc243558538"/>
      <w:r>
        <w:lastRenderedPageBreak/>
        <w:t xml:space="preserve">III: </w:t>
      </w:r>
      <w:r w:rsidRPr="00C31C1D">
        <w:t xml:space="preserve">Application Submission </w:t>
      </w:r>
      <w:bookmarkEnd w:id="150"/>
      <w:bookmarkEnd w:id="151"/>
      <w:bookmarkEnd w:id="152"/>
      <w:r w:rsidRPr="00C31C1D">
        <w:t>Instructions</w:t>
      </w:r>
      <w:bookmarkEnd w:id="153"/>
      <w:bookmarkEnd w:id="155"/>
    </w:p>
    <w:p w14:paraId="0EBBB55F" w14:textId="77777777" w:rsidR="00674AE1" w:rsidRDefault="00674AE1">
      <w:pPr>
        <w:pStyle w:val="Heading3"/>
        <w:numPr>
          <w:ilvl w:val="0"/>
          <w:numId w:val="73"/>
        </w:numPr>
        <w:tabs>
          <w:tab w:val="num" w:pos="360"/>
        </w:tabs>
        <w:ind w:left="0"/>
      </w:pPr>
      <w:bookmarkStart w:id="156" w:name="_Toc243558539"/>
      <w:r>
        <w:t>Application Format, Page Limits</w:t>
      </w:r>
      <w:bookmarkEnd w:id="156"/>
    </w:p>
    <w:p w14:paraId="5229AF0A" w14:textId="77777777" w:rsidR="00674AE1" w:rsidRDefault="00674AE1" w:rsidP="00674AE1">
      <w:r w:rsidRPr="00BF0D37">
        <w:t xml:space="preserve">All items listed below are required as part of the application package. Failure to provide any items may result in disqualification of the application. </w:t>
      </w:r>
    </w:p>
    <w:p w14:paraId="242CEEF2" w14:textId="77777777" w:rsidR="00674AE1" w:rsidRDefault="00674AE1" w:rsidP="00674AE1">
      <w:r>
        <w:t>Documents must meet the following requirements:</w:t>
      </w:r>
    </w:p>
    <w:p w14:paraId="6AD78B5C" w14:textId="77777777" w:rsidR="00674AE1" w:rsidRPr="00185CCA" w:rsidRDefault="00674AE1" w:rsidP="00674AE1">
      <w:pPr>
        <w:numPr>
          <w:ilvl w:val="0"/>
          <w:numId w:val="14"/>
        </w:numPr>
        <w:rPr>
          <w:rFonts w:cs="Tahoma"/>
          <w:szCs w:val="24"/>
        </w:rPr>
      </w:pPr>
      <w:r w:rsidRPr="00185CCA">
        <w:rPr>
          <w:rFonts w:cs="Tahoma"/>
          <w:b/>
          <w:szCs w:val="24"/>
        </w:rPr>
        <w:t>Font:</w:t>
      </w:r>
      <w:r w:rsidRPr="00185CCA">
        <w:rPr>
          <w:rFonts w:cs="Tahoma"/>
          <w:szCs w:val="24"/>
        </w:rPr>
        <w:t xml:space="preserve"> 11-point, Arial (excluding original template headers and footers, and commitment or support letters)</w:t>
      </w:r>
    </w:p>
    <w:p w14:paraId="6A0A3344" w14:textId="77777777" w:rsidR="00674AE1" w:rsidRPr="00185CCA" w:rsidRDefault="00674AE1" w:rsidP="00674AE1">
      <w:pPr>
        <w:numPr>
          <w:ilvl w:val="0"/>
          <w:numId w:val="14"/>
        </w:numPr>
        <w:rPr>
          <w:rFonts w:cs="Tahoma"/>
          <w:szCs w:val="24"/>
        </w:rPr>
      </w:pPr>
      <w:r w:rsidRPr="00185CCA">
        <w:rPr>
          <w:rFonts w:cs="Tahoma"/>
          <w:b/>
          <w:szCs w:val="24"/>
        </w:rPr>
        <w:t>Margins:</w:t>
      </w:r>
      <w:r w:rsidRPr="00185CCA">
        <w:rPr>
          <w:rFonts w:cs="Tahoma"/>
          <w:szCs w:val="24"/>
        </w:rPr>
        <w:t xml:space="preserve"> No less than one </w:t>
      </w:r>
      <w:r>
        <w:rPr>
          <w:rFonts w:cs="Tahoma"/>
          <w:szCs w:val="24"/>
        </w:rPr>
        <w:t xml:space="preserve">(1) </w:t>
      </w:r>
      <w:r w:rsidRPr="00185CCA">
        <w:rPr>
          <w:rFonts w:cs="Tahoma"/>
          <w:szCs w:val="24"/>
        </w:rPr>
        <w:t>inch on all sides (excluding headers and footers)</w:t>
      </w:r>
    </w:p>
    <w:p w14:paraId="245DB8CE" w14:textId="77777777" w:rsidR="00674AE1" w:rsidRPr="00185CCA" w:rsidRDefault="00674AE1" w:rsidP="00674AE1">
      <w:pPr>
        <w:numPr>
          <w:ilvl w:val="0"/>
          <w:numId w:val="14"/>
        </w:numPr>
        <w:rPr>
          <w:rFonts w:cs="Tahoma"/>
          <w:szCs w:val="24"/>
        </w:rPr>
      </w:pPr>
      <w:r w:rsidRPr="00185CCA">
        <w:rPr>
          <w:rFonts w:cs="Tahoma"/>
          <w:b/>
          <w:szCs w:val="24"/>
        </w:rPr>
        <w:t>Spacing:</w:t>
      </w:r>
      <w:r w:rsidRPr="00185CCA">
        <w:rPr>
          <w:rFonts w:cs="Tahoma"/>
          <w:szCs w:val="24"/>
        </w:rPr>
        <w:t xml:space="preserve"> Single spaced, with a blank line between each paragraph</w:t>
      </w:r>
    </w:p>
    <w:p w14:paraId="3A878F67" w14:textId="77777777" w:rsidR="00674AE1" w:rsidRPr="00185CCA" w:rsidRDefault="00674AE1" w:rsidP="00674AE1">
      <w:pPr>
        <w:numPr>
          <w:ilvl w:val="0"/>
          <w:numId w:val="14"/>
        </w:numPr>
        <w:rPr>
          <w:rFonts w:cs="Tahoma"/>
          <w:szCs w:val="24"/>
        </w:rPr>
      </w:pPr>
      <w:r w:rsidRPr="00185CCA">
        <w:rPr>
          <w:rFonts w:cs="Tahoma"/>
          <w:b/>
          <w:szCs w:val="24"/>
        </w:rPr>
        <w:t>Page Numbers:</w:t>
      </w:r>
      <w:r w:rsidRPr="00185CCA">
        <w:rPr>
          <w:rFonts w:cs="Tahoma"/>
          <w:szCs w:val="24"/>
        </w:rPr>
        <w:t xml:space="preserve"> Page numbers on the bottom of each page</w:t>
      </w:r>
    </w:p>
    <w:p w14:paraId="7D9530B7" w14:textId="77777777" w:rsidR="00674AE1" w:rsidRDefault="00674AE1" w:rsidP="00674AE1">
      <w:pPr>
        <w:numPr>
          <w:ilvl w:val="0"/>
          <w:numId w:val="14"/>
        </w:numPr>
        <w:rPr>
          <w:rFonts w:cs="Tahoma"/>
          <w:szCs w:val="24"/>
        </w:rPr>
      </w:pPr>
      <w:r w:rsidRPr="00185CCA">
        <w:rPr>
          <w:rFonts w:cs="Tahoma"/>
          <w:b/>
          <w:szCs w:val="24"/>
        </w:rPr>
        <w:t>File Format:</w:t>
      </w:r>
      <w:r w:rsidRPr="00185CCA">
        <w:rPr>
          <w:rFonts w:cs="Tahoma"/>
          <w:szCs w:val="24"/>
        </w:rPr>
        <w:t xml:space="preserve"> M</w:t>
      </w:r>
      <w:r>
        <w:rPr>
          <w:rFonts w:cs="Tahoma"/>
          <w:szCs w:val="24"/>
        </w:rPr>
        <w:t>icrosoft</w:t>
      </w:r>
      <w:r w:rsidRPr="00185CCA">
        <w:rPr>
          <w:rFonts w:cs="Tahoma"/>
          <w:szCs w:val="24"/>
        </w:rPr>
        <w:t xml:space="preserve"> Word version 2007 or later (.doc or .docx format), excluding</w:t>
      </w:r>
      <w:r>
        <w:rPr>
          <w:rFonts w:cs="Tahoma"/>
          <w:szCs w:val="24"/>
        </w:rPr>
        <w:t xml:space="preserve"> Microsoft</w:t>
      </w:r>
      <w:r w:rsidRPr="00185CCA">
        <w:rPr>
          <w:rFonts w:cs="Tahoma"/>
          <w:szCs w:val="24"/>
        </w:rPr>
        <w:t xml:space="preserve"> Excel spreadsheets, documents requiring signatures, and commitment or support letters. PDF files are acceptable for the documents requiring signatures and letters</w:t>
      </w:r>
      <w:r>
        <w:rPr>
          <w:rFonts w:cs="Tahoma"/>
          <w:szCs w:val="24"/>
        </w:rPr>
        <w:t>.</w:t>
      </w:r>
    </w:p>
    <w:p w14:paraId="5F7AD590" w14:textId="77777777" w:rsidR="00674AE1" w:rsidRDefault="00674AE1" w:rsidP="00674AE1">
      <w:pPr>
        <w:numPr>
          <w:ilvl w:val="0"/>
          <w:numId w:val="14"/>
        </w:numPr>
        <w:rPr>
          <w:rFonts w:cs="Tahoma"/>
          <w:szCs w:val="24"/>
        </w:rPr>
      </w:pPr>
      <w:r w:rsidRPr="00F2150E">
        <w:rPr>
          <w:rFonts w:cs="Tahoma"/>
          <w:b/>
          <w:szCs w:val="24"/>
        </w:rPr>
        <w:t>Signatures</w:t>
      </w:r>
      <w:r w:rsidRPr="00F2150E">
        <w:rPr>
          <w:rFonts w:cs="Tahoma"/>
          <w:szCs w:val="24"/>
        </w:rPr>
        <w:t>: Wet or certified electronic signatures (PDF files)</w:t>
      </w:r>
    </w:p>
    <w:p w14:paraId="065FE389" w14:textId="77777777" w:rsidR="00674AE1" w:rsidRDefault="00674AE1" w:rsidP="00674AE1">
      <w:pPr>
        <w:rPr>
          <w:rFonts w:cs="Tahoma"/>
          <w:szCs w:val="24"/>
        </w:rPr>
      </w:pPr>
      <w:r>
        <w:t>Table 5 shows t</w:t>
      </w:r>
      <w:r w:rsidRPr="00036022">
        <w:rPr>
          <w:rFonts w:cs="Tahoma"/>
          <w:szCs w:val="24"/>
        </w:rPr>
        <w:t>he order in which the application documents must be submitted,</w:t>
      </w:r>
      <w:r>
        <w:rPr>
          <w:rFonts w:cs="Tahoma"/>
          <w:szCs w:val="24"/>
        </w:rPr>
        <w:t xml:space="preserve"> and the maximum page limit.</w:t>
      </w:r>
    </w:p>
    <w:p w14:paraId="27A8B9AA" w14:textId="77777777" w:rsidR="00674AE1" w:rsidRPr="004B4106" w:rsidRDefault="00674AE1" w:rsidP="00674AE1">
      <w:pPr>
        <w:pStyle w:val="TableTitle"/>
      </w:pPr>
      <w:bookmarkStart w:id="157" w:name="_Toc243558589"/>
      <w:r>
        <w:t>Table 5: Application Documents Submittal Order</w:t>
      </w:r>
      <w:bookmarkEnd w:id="157"/>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950"/>
        <w:gridCol w:w="2407"/>
        <w:gridCol w:w="2430"/>
      </w:tblGrid>
      <w:tr w:rsidR="00674AE1" w:rsidRPr="00853CD2" w14:paraId="405876AA" w14:textId="77777777" w:rsidTr="00816ADB">
        <w:trPr>
          <w:cantSplit/>
          <w:trHeight w:val="281"/>
          <w:tblHeader/>
        </w:trPr>
        <w:tc>
          <w:tcPr>
            <w:tcW w:w="4950" w:type="dxa"/>
            <w:shd w:val="clear" w:color="auto" w:fill="D9D9D9" w:themeFill="background1" w:themeFillShade="D9"/>
          </w:tcPr>
          <w:p w14:paraId="0EE77FC2" w14:textId="77777777" w:rsidR="00674AE1" w:rsidRPr="00853CD2" w:rsidRDefault="00674AE1">
            <w:pPr>
              <w:rPr>
                <w:rFonts w:cs="Tahoma"/>
                <w:szCs w:val="24"/>
              </w:rPr>
            </w:pPr>
            <w:r w:rsidRPr="00853CD2">
              <w:rPr>
                <w:rFonts w:cs="Tahoma"/>
                <w:szCs w:val="24"/>
              </w:rPr>
              <w:t>Item</w:t>
            </w:r>
          </w:p>
        </w:tc>
        <w:tc>
          <w:tcPr>
            <w:tcW w:w="2407" w:type="dxa"/>
            <w:shd w:val="clear" w:color="auto" w:fill="D9D9D9" w:themeFill="background1" w:themeFillShade="D9"/>
          </w:tcPr>
          <w:p w14:paraId="621CF683" w14:textId="77777777" w:rsidR="00674AE1" w:rsidRPr="00853CD2" w:rsidRDefault="00674AE1">
            <w:pPr>
              <w:rPr>
                <w:rFonts w:cs="Tahoma"/>
                <w:szCs w:val="24"/>
              </w:rPr>
            </w:pPr>
            <w:r w:rsidRPr="00853CD2">
              <w:rPr>
                <w:rFonts w:cs="Tahoma"/>
                <w:szCs w:val="24"/>
              </w:rPr>
              <w:t xml:space="preserve">Attachment Number </w:t>
            </w:r>
          </w:p>
        </w:tc>
        <w:tc>
          <w:tcPr>
            <w:tcW w:w="2430" w:type="dxa"/>
            <w:shd w:val="clear" w:color="auto" w:fill="D9D9D9" w:themeFill="background1" w:themeFillShade="D9"/>
          </w:tcPr>
          <w:p w14:paraId="0C29F2E8" w14:textId="77777777" w:rsidR="00674AE1" w:rsidRPr="00853CD2" w:rsidRDefault="00674AE1">
            <w:pPr>
              <w:rPr>
                <w:rFonts w:cs="Tahoma"/>
                <w:szCs w:val="24"/>
              </w:rPr>
            </w:pPr>
            <w:r w:rsidRPr="00853CD2">
              <w:rPr>
                <w:rFonts w:cs="Tahoma"/>
                <w:szCs w:val="24"/>
              </w:rPr>
              <w:t>Page Limitation</w:t>
            </w:r>
          </w:p>
        </w:tc>
      </w:tr>
      <w:tr w:rsidR="00674AE1" w:rsidRPr="00853CD2" w14:paraId="3A5BE408" w14:textId="77777777">
        <w:trPr>
          <w:trHeight w:val="431"/>
        </w:trPr>
        <w:tc>
          <w:tcPr>
            <w:tcW w:w="4950" w:type="dxa"/>
            <w:vAlign w:val="center"/>
          </w:tcPr>
          <w:p w14:paraId="1CCD1D12" w14:textId="77777777" w:rsidR="00674AE1" w:rsidRPr="00853CD2" w:rsidRDefault="00674AE1">
            <w:pPr>
              <w:rPr>
                <w:rFonts w:cs="Tahoma"/>
                <w:szCs w:val="24"/>
              </w:rPr>
            </w:pPr>
            <w:r w:rsidRPr="00853CD2">
              <w:rPr>
                <w:rFonts w:cs="Tahoma"/>
                <w:szCs w:val="24"/>
              </w:rPr>
              <w:t>Application Form</w:t>
            </w:r>
          </w:p>
        </w:tc>
        <w:tc>
          <w:tcPr>
            <w:tcW w:w="2407" w:type="dxa"/>
            <w:vAlign w:val="center"/>
          </w:tcPr>
          <w:p w14:paraId="03E0EFB1" w14:textId="77777777" w:rsidR="00674AE1" w:rsidRPr="00853CD2" w:rsidRDefault="00674AE1">
            <w:pPr>
              <w:rPr>
                <w:rFonts w:cs="Tahoma"/>
                <w:szCs w:val="24"/>
              </w:rPr>
            </w:pPr>
            <w:r w:rsidRPr="00853CD2">
              <w:rPr>
                <w:rFonts w:cs="Tahoma"/>
                <w:szCs w:val="24"/>
              </w:rPr>
              <w:t>Attachment 01</w:t>
            </w:r>
          </w:p>
        </w:tc>
        <w:tc>
          <w:tcPr>
            <w:tcW w:w="2430" w:type="dxa"/>
          </w:tcPr>
          <w:p w14:paraId="67581CF5" w14:textId="77777777" w:rsidR="00674AE1" w:rsidRPr="00853CD2" w:rsidRDefault="00674AE1">
            <w:pPr>
              <w:rPr>
                <w:rFonts w:cs="Tahoma"/>
                <w:szCs w:val="24"/>
              </w:rPr>
            </w:pPr>
            <w:r w:rsidRPr="00853CD2">
              <w:rPr>
                <w:rFonts w:cs="Tahoma"/>
                <w:szCs w:val="24"/>
              </w:rPr>
              <w:t>Use form provided</w:t>
            </w:r>
          </w:p>
        </w:tc>
      </w:tr>
      <w:tr w:rsidR="00674AE1" w:rsidRPr="00853CD2" w14:paraId="7FCC6106" w14:textId="77777777">
        <w:trPr>
          <w:trHeight w:val="431"/>
        </w:trPr>
        <w:tc>
          <w:tcPr>
            <w:tcW w:w="4950" w:type="dxa"/>
            <w:vAlign w:val="center"/>
          </w:tcPr>
          <w:p w14:paraId="7247D880" w14:textId="77777777" w:rsidR="00674AE1" w:rsidRPr="00853CD2" w:rsidRDefault="00674AE1">
            <w:pPr>
              <w:rPr>
                <w:rFonts w:cs="Tahoma"/>
                <w:szCs w:val="24"/>
              </w:rPr>
            </w:pPr>
            <w:r w:rsidRPr="00853CD2">
              <w:rPr>
                <w:rFonts w:cs="Tahoma"/>
                <w:szCs w:val="24"/>
              </w:rPr>
              <w:t>Project Narrative</w:t>
            </w:r>
          </w:p>
        </w:tc>
        <w:tc>
          <w:tcPr>
            <w:tcW w:w="2407" w:type="dxa"/>
            <w:vAlign w:val="center"/>
          </w:tcPr>
          <w:p w14:paraId="49499F49" w14:textId="77777777" w:rsidR="00674AE1" w:rsidRPr="00853CD2" w:rsidRDefault="00674AE1">
            <w:pPr>
              <w:rPr>
                <w:rFonts w:cs="Tahoma"/>
                <w:szCs w:val="24"/>
              </w:rPr>
            </w:pPr>
            <w:r w:rsidRPr="00853CD2">
              <w:rPr>
                <w:rFonts w:cs="Tahoma"/>
                <w:szCs w:val="24"/>
              </w:rPr>
              <w:t>Attachment 02</w:t>
            </w:r>
          </w:p>
        </w:tc>
        <w:tc>
          <w:tcPr>
            <w:tcW w:w="2430" w:type="dxa"/>
          </w:tcPr>
          <w:p w14:paraId="287085DE" w14:textId="77777777" w:rsidR="00674AE1" w:rsidRPr="00853CD2" w:rsidRDefault="00674AE1">
            <w:pPr>
              <w:rPr>
                <w:rFonts w:cs="Tahoma"/>
                <w:szCs w:val="24"/>
              </w:rPr>
            </w:pPr>
            <w:r w:rsidRPr="00853CD2">
              <w:rPr>
                <w:rFonts w:cs="Tahoma"/>
                <w:szCs w:val="24"/>
              </w:rPr>
              <w:t xml:space="preserve">Thirty (30) pages. Appendices and attachments that bring count over thirty (30) pages will not be considered. </w:t>
            </w:r>
          </w:p>
        </w:tc>
      </w:tr>
      <w:tr w:rsidR="00674AE1" w:rsidRPr="00853CD2" w14:paraId="0C3AAA6D" w14:textId="77777777">
        <w:trPr>
          <w:trHeight w:val="281"/>
        </w:trPr>
        <w:tc>
          <w:tcPr>
            <w:tcW w:w="4950" w:type="dxa"/>
            <w:vAlign w:val="center"/>
          </w:tcPr>
          <w:p w14:paraId="5EB3190A" w14:textId="77777777" w:rsidR="00674AE1" w:rsidRPr="00853CD2" w:rsidRDefault="00674AE1">
            <w:pPr>
              <w:rPr>
                <w:rFonts w:cs="Tahoma"/>
                <w:szCs w:val="24"/>
              </w:rPr>
            </w:pPr>
            <w:r w:rsidRPr="00853CD2">
              <w:rPr>
                <w:rFonts w:cs="Tahoma"/>
                <w:szCs w:val="24"/>
              </w:rPr>
              <w:t>Project Team and Resumes</w:t>
            </w:r>
          </w:p>
        </w:tc>
        <w:tc>
          <w:tcPr>
            <w:tcW w:w="2407" w:type="dxa"/>
            <w:vAlign w:val="center"/>
          </w:tcPr>
          <w:p w14:paraId="17D48A33" w14:textId="77777777" w:rsidR="00674AE1" w:rsidRPr="00853CD2" w:rsidRDefault="00674AE1">
            <w:pPr>
              <w:rPr>
                <w:rFonts w:cs="Tahoma"/>
                <w:szCs w:val="24"/>
              </w:rPr>
            </w:pPr>
            <w:r w:rsidRPr="00853CD2">
              <w:rPr>
                <w:rFonts w:cs="Tahoma"/>
                <w:szCs w:val="24"/>
              </w:rPr>
              <w:t>Attachment 03</w:t>
            </w:r>
          </w:p>
        </w:tc>
        <w:tc>
          <w:tcPr>
            <w:tcW w:w="2430" w:type="dxa"/>
          </w:tcPr>
          <w:p w14:paraId="4FC679C7" w14:textId="77777777" w:rsidR="00674AE1" w:rsidRPr="00853CD2" w:rsidRDefault="00674AE1">
            <w:pPr>
              <w:rPr>
                <w:rFonts w:cs="Tahoma"/>
                <w:szCs w:val="24"/>
              </w:rPr>
            </w:pPr>
            <w:r w:rsidRPr="00853CD2">
              <w:rPr>
                <w:rFonts w:cs="Tahoma"/>
                <w:szCs w:val="24"/>
              </w:rPr>
              <w:t>One page max per individual, two pages max per resume.</w:t>
            </w:r>
          </w:p>
        </w:tc>
      </w:tr>
      <w:tr w:rsidR="00674AE1" w:rsidRPr="00853CD2" w14:paraId="4E2EDB36" w14:textId="77777777">
        <w:trPr>
          <w:trHeight w:val="281"/>
        </w:trPr>
        <w:tc>
          <w:tcPr>
            <w:tcW w:w="4950" w:type="dxa"/>
            <w:vAlign w:val="center"/>
          </w:tcPr>
          <w:p w14:paraId="41A8D6FD" w14:textId="77777777" w:rsidR="00674AE1" w:rsidRPr="00853CD2" w:rsidRDefault="00674AE1">
            <w:pPr>
              <w:rPr>
                <w:rFonts w:cs="Tahoma"/>
                <w:szCs w:val="24"/>
              </w:rPr>
            </w:pPr>
            <w:r w:rsidRPr="00853CD2">
              <w:rPr>
                <w:rFonts w:cs="Tahoma"/>
                <w:szCs w:val="24"/>
              </w:rPr>
              <w:t>Scope of Work</w:t>
            </w:r>
          </w:p>
        </w:tc>
        <w:tc>
          <w:tcPr>
            <w:tcW w:w="2407" w:type="dxa"/>
            <w:vAlign w:val="center"/>
          </w:tcPr>
          <w:p w14:paraId="054C7504" w14:textId="77777777" w:rsidR="00674AE1" w:rsidRPr="00853CD2" w:rsidRDefault="00674AE1">
            <w:pPr>
              <w:rPr>
                <w:rFonts w:cs="Tahoma"/>
                <w:szCs w:val="24"/>
              </w:rPr>
            </w:pPr>
            <w:r w:rsidRPr="00853CD2">
              <w:rPr>
                <w:rFonts w:cs="Tahoma"/>
                <w:szCs w:val="24"/>
              </w:rPr>
              <w:t>Attachment 04</w:t>
            </w:r>
          </w:p>
        </w:tc>
        <w:tc>
          <w:tcPr>
            <w:tcW w:w="2430" w:type="dxa"/>
          </w:tcPr>
          <w:p w14:paraId="6131CA68" w14:textId="5E92ECA3" w:rsidR="00674AE1" w:rsidRPr="00853CD2" w:rsidRDefault="00674AE1">
            <w:pPr>
              <w:rPr>
                <w:rFonts w:cs="Tahoma"/>
                <w:szCs w:val="24"/>
              </w:rPr>
            </w:pPr>
            <w:r w:rsidRPr="00853CD2">
              <w:rPr>
                <w:rFonts w:cs="Tahoma"/>
                <w:szCs w:val="24"/>
              </w:rPr>
              <w:t>Thirty</w:t>
            </w:r>
            <w:r w:rsidR="00216969">
              <w:rPr>
                <w:rFonts w:cs="Tahoma"/>
                <w:szCs w:val="24"/>
              </w:rPr>
              <w:t xml:space="preserve"> (30)</w:t>
            </w:r>
            <w:r w:rsidRPr="00853CD2">
              <w:rPr>
                <w:rFonts w:cs="Tahoma"/>
                <w:szCs w:val="24"/>
              </w:rPr>
              <w:t xml:space="preserve"> pages</w:t>
            </w:r>
          </w:p>
        </w:tc>
      </w:tr>
      <w:tr w:rsidR="00674AE1" w:rsidRPr="00853CD2" w14:paraId="06B2F9B0" w14:textId="77777777">
        <w:trPr>
          <w:trHeight w:val="290"/>
        </w:trPr>
        <w:tc>
          <w:tcPr>
            <w:tcW w:w="4950" w:type="dxa"/>
            <w:vAlign w:val="center"/>
          </w:tcPr>
          <w:p w14:paraId="769C81E0" w14:textId="77777777" w:rsidR="00674AE1" w:rsidRPr="00853CD2" w:rsidRDefault="00674AE1">
            <w:pPr>
              <w:rPr>
                <w:rFonts w:cs="Tahoma"/>
                <w:szCs w:val="24"/>
              </w:rPr>
            </w:pPr>
            <w:r w:rsidRPr="00853CD2">
              <w:rPr>
                <w:rFonts w:cs="Tahoma"/>
                <w:szCs w:val="24"/>
              </w:rPr>
              <w:t>Project Schedule</w:t>
            </w:r>
          </w:p>
        </w:tc>
        <w:tc>
          <w:tcPr>
            <w:tcW w:w="2407" w:type="dxa"/>
            <w:vAlign w:val="center"/>
          </w:tcPr>
          <w:p w14:paraId="6D2F77B7" w14:textId="77777777" w:rsidR="00674AE1" w:rsidRPr="00853CD2" w:rsidRDefault="00674AE1">
            <w:pPr>
              <w:rPr>
                <w:rFonts w:cs="Tahoma"/>
                <w:szCs w:val="24"/>
              </w:rPr>
            </w:pPr>
            <w:r w:rsidRPr="00853CD2">
              <w:rPr>
                <w:rFonts w:cs="Tahoma"/>
                <w:szCs w:val="24"/>
              </w:rPr>
              <w:t>Attachment 05</w:t>
            </w:r>
          </w:p>
        </w:tc>
        <w:tc>
          <w:tcPr>
            <w:tcW w:w="2430" w:type="dxa"/>
          </w:tcPr>
          <w:p w14:paraId="5110A5BC" w14:textId="77777777" w:rsidR="00674AE1" w:rsidRPr="00853CD2" w:rsidRDefault="00674AE1">
            <w:pPr>
              <w:rPr>
                <w:rFonts w:cs="Tahoma"/>
                <w:szCs w:val="24"/>
              </w:rPr>
            </w:pPr>
            <w:r w:rsidRPr="00853CD2">
              <w:rPr>
                <w:rFonts w:cs="Tahoma"/>
                <w:szCs w:val="24"/>
              </w:rPr>
              <w:t>None</w:t>
            </w:r>
          </w:p>
        </w:tc>
      </w:tr>
      <w:tr w:rsidR="00674AE1" w:rsidRPr="00853CD2" w14:paraId="391BC1F8" w14:textId="77777777">
        <w:tc>
          <w:tcPr>
            <w:tcW w:w="4950" w:type="dxa"/>
            <w:vAlign w:val="center"/>
          </w:tcPr>
          <w:p w14:paraId="1B2186FE" w14:textId="77777777" w:rsidR="00674AE1" w:rsidRPr="00853CD2" w:rsidRDefault="00674AE1">
            <w:pPr>
              <w:rPr>
                <w:rFonts w:cs="Tahoma"/>
                <w:szCs w:val="24"/>
              </w:rPr>
            </w:pPr>
            <w:r w:rsidRPr="00853CD2">
              <w:rPr>
                <w:rFonts w:cs="Tahoma"/>
                <w:szCs w:val="24"/>
              </w:rPr>
              <w:t xml:space="preserve">Budget </w:t>
            </w:r>
          </w:p>
        </w:tc>
        <w:tc>
          <w:tcPr>
            <w:tcW w:w="2407" w:type="dxa"/>
            <w:vAlign w:val="center"/>
          </w:tcPr>
          <w:p w14:paraId="70447EA2" w14:textId="77777777" w:rsidR="00674AE1" w:rsidRPr="00853CD2" w:rsidRDefault="00674AE1">
            <w:pPr>
              <w:rPr>
                <w:rFonts w:cs="Tahoma"/>
                <w:szCs w:val="24"/>
              </w:rPr>
            </w:pPr>
            <w:r w:rsidRPr="00853CD2">
              <w:rPr>
                <w:rFonts w:cs="Tahoma"/>
                <w:szCs w:val="24"/>
              </w:rPr>
              <w:t>Attachment 06</w:t>
            </w:r>
          </w:p>
        </w:tc>
        <w:tc>
          <w:tcPr>
            <w:tcW w:w="2430" w:type="dxa"/>
          </w:tcPr>
          <w:p w14:paraId="0EBB0E2E" w14:textId="77777777" w:rsidR="00674AE1" w:rsidRPr="00853CD2" w:rsidRDefault="00674AE1">
            <w:pPr>
              <w:rPr>
                <w:rFonts w:cs="Tahoma"/>
                <w:szCs w:val="24"/>
              </w:rPr>
            </w:pPr>
            <w:r w:rsidRPr="00853CD2">
              <w:rPr>
                <w:rFonts w:cs="Tahoma"/>
                <w:szCs w:val="24"/>
              </w:rPr>
              <w:t>None</w:t>
            </w:r>
          </w:p>
        </w:tc>
      </w:tr>
      <w:tr w:rsidR="00674AE1" w:rsidRPr="00853CD2" w14:paraId="16E3CD2C" w14:textId="77777777">
        <w:tc>
          <w:tcPr>
            <w:tcW w:w="4950" w:type="dxa"/>
            <w:vAlign w:val="center"/>
          </w:tcPr>
          <w:p w14:paraId="78ED16F7" w14:textId="77777777" w:rsidR="00674AE1" w:rsidRPr="00853CD2" w:rsidRDefault="00674AE1">
            <w:pPr>
              <w:rPr>
                <w:rFonts w:cs="Tahoma"/>
                <w:szCs w:val="24"/>
              </w:rPr>
            </w:pPr>
            <w:r w:rsidRPr="00853CD2">
              <w:rPr>
                <w:rFonts w:cs="Tahoma"/>
                <w:szCs w:val="24"/>
              </w:rPr>
              <w:lastRenderedPageBreak/>
              <w:t>CEQA Compliance Form</w:t>
            </w:r>
          </w:p>
        </w:tc>
        <w:tc>
          <w:tcPr>
            <w:tcW w:w="2407" w:type="dxa"/>
            <w:vAlign w:val="center"/>
          </w:tcPr>
          <w:p w14:paraId="3A96F3B2" w14:textId="77777777" w:rsidR="00674AE1" w:rsidRPr="00853CD2" w:rsidRDefault="00674AE1">
            <w:pPr>
              <w:rPr>
                <w:rFonts w:cs="Tahoma"/>
                <w:szCs w:val="24"/>
              </w:rPr>
            </w:pPr>
            <w:r w:rsidRPr="00853CD2">
              <w:rPr>
                <w:rFonts w:cs="Tahoma"/>
                <w:szCs w:val="24"/>
              </w:rPr>
              <w:t>Attachment 07</w:t>
            </w:r>
          </w:p>
        </w:tc>
        <w:tc>
          <w:tcPr>
            <w:tcW w:w="2430" w:type="dxa"/>
          </w:tcPr>
          <w:p w14:paraId="4C0FD824" w14:textId="77777777" w:rsidR="00674AE1" w:rsidRPr="00853CD2" w:rsidRDefault="00674AE1">
            <w:pPr>
              <w:rPr>
                <w:rFonts w:cs="Tahoma"/>
                <w:szCs w:val="24"/>
              </w:rPr>
            </w:pPr>
            <w:r w:rsidRPr="00853CD2">
              <w:rPr>
                <w:rFonts w:cs="Tahoma"/>
                <w:szCs w:val="24"/>
              </w:rPr>
              <w:t>None</w:t>
            </w:r>
          </w:p>
        </w:tc>
      </w:tr>
      <w:tr w:rsidR="00674AE1" w:rsidRPr="00853CD2" w14:paraId="7A4F0E37" w14:textId="77777777">
        <w:tc>
          <w:tcPr>
            <w:tcW w:w="4950" w:type="dxa"/>
            <w:vAlign w:val="center"/>
          </w:tcPr>
          <w:p w14:paraId="3C42E0A2" w14:textId="47C6625C" w:rsidR="00674AE1" w:rsidRPr="00853CD2" w:rsidRDefault="000843AD">
            <w:pPr>
              <w:rPr>
                <w:rFonts w:cs="Tahoma"/>
                <w:szCs w:val="24"/>
              </w:rPr>
            </w:pPr>
            <w:r>
              <w:rPr>
                <w:rFonts w:cs="Tahoma"/>
                <w:szCs w:val="24"/>
              </w:rPr>
              <w:t xml:space="preserve">Current and </w:t>
            </w:r>
            <w:r w:rsidR="00674AE1" w:rsidRPr="00853CD2">
              <w:rPr>
                <w:rFonts w:cs="Tahoma"/>
                <w:szCs w:val="24"/>
              </w:rPr>
              <w:t>Past Projects Information Form</w:t>
            </w:r>
          </w:p>
        </w:tc>
        <w:tc>
          <w:tcPr>
            <w:tcW w:w="2407" w:type="dxa"/>
            <w:vAlign w:val="center"/>
          </w:tcPr>
          <w:p w14:paraId="6CB083E9" w14:textId="77777777" w:rsidR="00674AE1" w:rsidRPr="00853CD2" w:rsidRDefault="00674AE1">
            <w:pPr>
              <w:rPr>
                <w:rFonts w:cs="Tahoma"/>
                <w:szCs w:val="24"/>
              </w:rPr>
            </w:pPr>
            <w:r w:rsidRPr="00853CD2">
              <w:rPr>
                <w:rFonts w:cs="Tahoma"/>
                <w:szCs w:val="24"/>
              </w:rPr>
              <w:t>Attachment 08</w:t>
            </w:r>
          </w:p>
        </w:tc>
        <w:tc>
          <w:tcPr>
            <w:tcW w:w="2430" w:type="dxa"/>
          </w:tcPr>
          <w:p w14:paraId="4AC17269" w14:textId="77777777" w:rsidR="00674AE1" w:rsidRPr="00853CD2" w:rsidRDefault="00674AE1">
            <w:pPr>
              <w:rPr>
                <w:rFonts w:cs="Tahoma"/>
                <w:szCs w:val="24"/>
              </w:rPr>
            </w:pPr>
            <w:r w:rsidRPr="00853CD2">
              <w:rPr>
                <w:rFonts w:cs="Tahoma"/>
                <w:szCs w:val="24"/>
              </w:rPr>
              <w:t>One page per reference; two pages per past project</w:t>
            </w:r>
          </w:p>
        </w:tc>
      </w:tr>
      <w:tr w:rsidR="00674AE1" w:rsidRPr="00853CD2" w14:paraId="4CB187B1" w14:textId="77777777">
        <w:tc>
          <w:tcPr>
            <w:tcW w:w="4950" w:type="dxa"/>
            <w:vAlign w:val="center"/>
          </w:tcPr>
          <w:p w14:paraId="45E15FA6" w14:textId="77777777" w:rsidR="00674AE1" w:rsidRPr="00853CD2" w:rsidRDefault="00674AE1">
            <w:pPr>
              <w:rPr>
                <w:rFonts w:cs="Tahoma"/>
                <w:szCs w:val="24"/>
              </w:rPr>
            </w:pPr>
            <w:r w:rsidRPr="00853CD2">
              <w:rPr>
                <w:rFonts w:cs="Tahoma"/>
                <w:szCs w:val="24"/>
              </w:rPr>
              <w:t xml:space="preserve">Commitment and Support Letters </w:t>
            </w:r>
          </w:p>
        </w:tc>
        <w:tc>
          <w:tcPr>
            <w:tcW w:w="2407" w:type="dxa"/>
            <w:vAlign w:val="center"/>
          </w:tcPr>
          <w:p w14:paraId="721F2CF5" w14:textId="77777777" w:rsidR="00674AE1" w:rsidRPr="00853CD2" w:rsidRDefault="00674AE1">
            <w:pPr>
              <w:rPr>
                <w:rFonts w:cs="Tahoma"/>
                <w:szCs w:val="24"/>
              </w:rPr>
            </w:pPr>
            <w:r w:rsidRPr="00853CD2">
              <w:rPr>
                <w:rFonts w:cs="Tahoma"/>
                <w:szCs w:val="24"/>
              </w:rPr>
              <w:t>Attachment 09</w:t>
            </w:r>
          </w:p>
        </w:tc>
        <w:tc>
          <w:tcPr>
            <w:tcW w:w="2430" w:type="dxa"/>
          </w:tcPr>
          <w:p w14:paraId="310CA20D" w14:textId="77777777" w:rsidR="00674AE1" w:rsidRPr="00853CD2" w:rsidRDefault="00674AE1">
            <w:pPr>
              <w:rPr>
                <w:rFonts w:cs="Tahoma"/>
                <w:szCs w:val="24"/>
              </w:rPr>
            </w:pPr>
            <w:r w:rsidRPr="00853CD2">
              <w:rPr>
                <w:rFonts w:cs="Tahoma"/>
                <w:szCs w:val="24"/>
              </w:rPr>
              <w:t>Two pages per letter, excluding the cover page. No max number of letters.</w:t>
            </w:r>
          </w:p>
        </w:tc>
      </w:tr>
      <w:tr w:rsidR="00674AE1" w:rsidRPr="00853CD2" w14:paraId="26869E3C" w14:textId="77777777">
        <w:tc>
          <w:tcPr>
            <w:tcW w:w="4950" w:type="dxa"/>
            <w:vAlign w:val="center"/>
          </w:tcPr>
          <w:p w14:paraId="51AF6944" w14:textId="77777777" w:rsidR="00674AE1" w:rsidRPr="00853CD2" w:rsidRDefault="00674AE1">
            <w:pPr>
              <w:rPr>
                <w:rFonts w:cs="Tahoma"/>
                <w:szCs w:val="24"/>
              </w:rPr>
            </w:pPr>
            <w:r w:rsidRPr="00853CD2">
              <w:rPr>
                <w:rFonts w:cs="Tahoma"/>
                <w:szCs w:val="24"/>
              </w:rPr>
              <w:t>Measurement &amp; Verification Requirements</w:t>
            </w:r>
          </w:p>
        </w:tc>
        <w:tc>
          <w:tcPr>
            <w:tcW w:w="2407" w:type="dxa"/>
            <w:vAlign w:val="center"/>
          </w:tcPr>
          <w:p w14:paraId="516638FB" w14:textId="77777777" w:rsidR="00674AE1" w:rsidRPr="00853CD2" w:rsidRDefault="00674AE1">
            <w:pPr>
              <w:rPr>
                <w:rFonts w:cs="Tahoma"/>
                <w:szCs w:val="24"/>
              </w:rPr>
            </w:pPr>
            <w:r w:rsidRPr="00853CD2">
              <w:rPr>
                <w:rFonts w:cs="Tahoma"/>
                <w:szCs w:val="24"/>
              </w:rPr>
              <w:t>Attachment 10</w:t>
            </w:r>
          </w:p>
        </w:tc>
        <w:tc>
          <w:tcPr>
            <w:tcW w:w="2430" w:type="dxa"/>
          </w:tcPr>
          <w:p w14:paraId="59A4E8DF" w14:textId="77777777" w:rsidR="00674AE1" w:rsidRPr="00853CD2" w:rsidRDefault="00674AE1">
            <w:pPr>
              <w:rPr>
                <w:rFonts w:cs="Tahoma"/>
                <w:szCs w:val="24"/>
              </w:rPr>
            </w:pPr>
            <w:r w:rsidRPr="00853CD2">
              <w:rPr>
                <w:rFonts w:cs="Tahoma"/>
                <w:szCs w:val="24"/>
              </w:rPr>
              <w:t>None</w:t>
            </w:r>
          </w:p>
        </w:tc>
      </w:tr>
      <w:tr w:rsidR="00674AE1" w:rsidRPr="00853CD2" w14:paraId="30DC3048" w14:textId="77777777">
        <w:tc>
          <w:tcPr>
            <w:tcW w:w="4950" w:type="dxa"/>
            <w:vAlign w:val="center"/>
          </w:tcPr>
          <w:p w14:paraId="15713ADE" w14:textId="77777777" w:rsidR="00674AE1" w:rsidRPr="00853CD2" w:rsidRDefault="00674AE1">
            <w:pPr>
              <w:rPr>
                <w:rFonts w:cs="Tahoma"/>
                <w:szCs w:val="24"/>
              </w:rPr>
            </w:pPr>
            <w:r w:rsidRPr="00853CD2">
              <w:rPr>
                <w:rFonts w:cs="Tahoma"/>
                <w:szCs w:val="24"/>
              </w:rPr>
              <w:t>Applicant Declaration</w:t>
            </w:r>
          </w:p>
        </w:tc>
        <w:tc>
          <w:tcPr>
            <w:tcW w:w="2407" w:type="dxa"/>
            <w:vAlign w:val="center"/>
          </w:tcPr>
          <w:p w14:paraId="33EC0CAC" w14:textId="77777777" w:rsidR="00674AE1" w:rsidRPr="00853CD2" w:rsidRDefault="00674AE1">
            <w:pPr>
              <w:rPr>
                <w:rFonts w:cs="Tahoma"/>
                <w:szCs w:val="24"/>
              </w:rPr>
            </w:pPr>
            <w:r w:rsidRPr="00853CD2">
              <w:rPr>
                <w:rFonts w:cs="Tahoma"/>
                <w:szCs w:val="24"/>
              </w:rPr>
              <w:t>Attachment 11</w:t>
            </w:r>
          </w:p>
        </w:tc>
        <w:tc>
          <w:tcPr>
            <w:tcW w:w="2430" w:type="dxa"/>
          </w:tcPr>
          <w:p w14:paraId="01AEFAE7" w14:textId="77777777" w:rsidR="00674AE1" w:rsidRPr="00853CD2" w:rsidRDefault="00674AE1">
            <w:pPr>
              <w:rPr>
                <w:rFonts w:cs="Tahoma"/>
                <w:szCs w:val="24"/>
              </w:rPr>
            </w:pPr>
            <w:r w:rsidRPr="00853CD2">
              <w:rPr>
                <w:rFonts w:cs="Tahoma"/>
                <w:szCs w:val="24"/>
              </w:rPr>
              <w:t>One page</w:t>
            </w:r>
          </w:p>
        </w:tc>
      </w:tr>
      <w:tr w:rsidR="00674AE1" w:rsidRPr="00853CD2" w14:paraId="5FEC870E" w14:textId="77777777">
        <w:tc>
          <w:tcPr>
            <w:tcW w:w="4950" w:type="dxa"/>
            <w:vAlign w:val="center"/>
          </w:tcPr>
          <w:p w14:paraId="0A351520" w14:textId="77777777" w:rsidR="00674AE1" w:rsidRPr="00853CD2" w:rsidRDefault="00674AE1">
            <w:pPr>
              <w:rPr>
                <w:rFonts w:cs="Tahoma"/>
                <w:szCs w:val="24"/>
              </w:rPr>
            </w:pPr>
            <w:r w:rsidRPr="00853CD2">
              <w:rPr>
                <w:rFonts w:cs="Tahoma"/>
                <w:szCs w:val="24"/>
              </w:rPr>
              <w:t>Project Readiness Checklist</w:t>
            </w:r>
          </w:p>
        </w:tc>
        <w:tc>
          <w:tcPr>
            <w:tcW w:w="2407" w:type="dxa"/>
            <w:vAlign w:val="center"/>
          </w:tcPr>
          <w:p w14:paraId="3178245F" w14:textId="77777777" w:rsidR="00674AE1" w:rsidRPr="00853CD2" w:rsidRDefault="00674AE1">
            <w:pPr>
              <w:rPr>
                <w:rFonts w:cs="Tahoma"/>
                <w:szCs w:val="24"/>
              </w:rPr>
            </w:pPr>
            <w:r w:rsidRPr="00853CD2">
              <w:rPr>
                <w:rFonts w:cs="Tahoma"/>
                <w:szCs w:val="24"/>
              </w:rPr>
              <w:t>Attachment 12</w:t>
            </w:r>
          </w:p>
        </w:tc>
        <w:tc>
          <w:tcPr>
            <w:tcW w:w="2430" w:type="dxa"/>
          </w:tcPr>
          <w:p w14:paraId="69182FBE" w14:textId="77777777" w:rsidR="00674AE1" w:rsidRPr="00853CD2" w:rsidRDefault="00674AE1">
            <w:pPr>
              <w:rPr>
                <w:rFonts w:cs="Tahoma"/>
                <w:szCs w:val="24"/>
              </w:rPr>
            </w:pPr>
            <w:r w:rsidRPr="00853CD2">
              <w:rPr>
                <w:rFonts w:cs="Tahoma"/>
                <w:szCs w:val="24"/>
              </w:rPr>
              <w:t>None</w:t>
            </w:r>
          </w:p>
        </w:tc>
      </w:tr>
      <w:tr w:rsidR="0077685D" w:rsidRPr="00853CD2" w14:paraId="43EB41A0" w14:textId="77777777" w:rsidTr="00657DD6">
        <w:tc>
          <w:tcPr>
            <w:tcW w:w="4950" w:type="dxa"/>
          </w:tcPr>
          <w:p w14:paraId="12A5CB68" w14:textId="51D6F886" w:rsidR="0077685D" w:rsidRPr="00853CD2" w:rsidRDefault="0077685D" w:rsidP="0077685D">
            <w:pPr>
              <w:rPr>
                <w:rFonts w:cs="Tahoma"/>
                <w:szCs w:val="24"/>
              </w:rPr>
            </w:pPr>
            <w:r w:rsidRPr="002932B3">
              <w:rPr>
                <w:szCs w:val="24"/>
              </w:rPr>
              <w:t xml:space="preserve">Confidential </w:t>
            </w:r>
            <w:r w:rsidR="00EB1A5F">
              <w:rPr>
                <w:szCs w:val="24"/>
              </w:rPr>
              <w:t>Recipient Information</w:t>
            </w:r>
            <w:r w:rsidRPr="002932B3">
              <w:rPr>
                <w:szCs w:val="24"/>
              </w:rPr>
              <w:t xml:space="preserve"> and Pre-Existing Intellectual Property</w:t>
            </w:r>
            <w:r>
              <w:rPr>
                <w:szCs w:val="24"/>
              </w:rPr>
              <w:t xml:space="preserve"> </w:t>
            </w:r>
          </w:p>
        </w:tc>
        <w:tc>
          <w:tcPr>
            <w:tcW w:w="2407" w:type="dxa"/>
            <w:vAlign w:val="center"/>
          </w:tcPr>
          <w:p w14:paraId="7D79022F" w14:textId="5D179413" w:rsidR="0077685D" w:rsidRPr="00853CD2" w:rsidRDefault="0077685D" w:rsidP="0077685D">
            <w:pPr>
              <w:rPr>
                <w:rFonts w:cs="Tahoma"/>
                <w:szCs w:val="24"/>
              </w:rPr>
            </w:pPr>
            <w:r w:rsidRPr="00853CD2">
              <w:rPr>
                <w:rFonts w:cs="Tahoma"/>
                <w:szCs w:val="24"/>
              </w:rPr>
              <w:t>Attachment 1</w:t>
            </w:r>
            <w:r>
              <w:rPr>
                <w:rFonts w:cs="Tahoma"/>
                <w:szCs w:val="24"/>
              </w:rPr>
              <w:t>3</w:t>
            </w:r>
          </w:p>
        </w:tc>
        <w:tc>
          <w:tcPr>
            <w:tcW w:w="2430" w:type="dxa"/>
          </w:tcPr>
          <w:p w14:paraId="2655C820" w14:textId="748304C7" w:rsidR="0077685D" w:rsidRPr="00853CD2" w:rsidRDefault="0077685D" w:rsidP="0077685D">
            <w:pPr>
              <w:rPr>
                <w:rFonts w:cs="Tahoma"/>
                <w:szCs w:val="24"/>
              </w:rPr>
            </w:pPr>
            <w:r w:rsidRPr="00853CD2">
              <w:rPr>
                <w:rFonts w:cs="Tahoma"/>
                <w:szCs w:val="24"/>
              </w:rPr>
              <w:t>Use form provided</w:t>
            </w:r>
          </w:p>
        </w:tc>
      </w:tr>
      <w:tr w:rsidR="0077685D" w:rsidRPr="00853CD2" w14:paraId="6FB240D2" w14:textId="77777777">
        <w:tc>
          <w:tcPr>
            <w:tcW w:w="4950" w:type="dxa"/>
            <w:vAlign w:val="center"/>
          </w:tcPr>
          <w:p w14:paraId="3E3B1630" w14:textId="09E910C8" w:rsidR="0077685D" w:rsidRPr="00853CD2" w:rsidRDefault="0077685D" w:rsidP="0077685D">
            <w:pPr>
              <w:rPr>
                <w:rFonts w:cs="Tahoma"/>
                <w:szCs w:val="24"/>
              </w:rPr>
            </w:pPr>
            <w:r>
              <w:rPr>
                <w:rFonts w:cs="Tahoma"/>
                <w:szCs w:val="24"/>
              </w:rPr>
              <w:t>Terms and Conditions</w:t>
            </w:r>
          </w:p>
        </w:tc>
        <w:tc>
          <w:tcPr>
            <w:tcW w:w="2407" w:type="dxa"/>
            <w:vAlign w:val="center"/>
          </w:tcPr>
          <w:p w14:paraId="7BCEF8CA" w14:textId="30F05E9C" w:rsidR="0077685D" w:rsidRPr="00853CD2" w:rsidRDefault="0077685D" w:rsidP="0077685D">
            <w:pPr>
              <w:rPr>
                <w:rFonts w:cs="Tahoma"/>
                <w:szCs w:val="24"/>
              </w:rPr>
            </w:pPr>
            <w:r>
              <w:rPr>
                <w:rFonts w:cs="Tahoma"/>
                <w:szCs w:val="24"/>
              </w:rPr>
              <w:t>Attachment 14</w:t>
            </w:r>
          </w:p>
        </w:tc>
        <w:tc>
          <w:tcPr>
            <w:tcW w:w="2430" w:type="dxa"/>
          </w:tcPr>
          <w:p w14:paraId="4E2B56EA" w14:textId="0FCC64F3" w:rsidR="0077685D" w:rsidRPr="005173D6" w:rsidRDefault="0077685D" w:rsidP="0077685D">
            <w:pPr>
              <w:rPr>
                <w:rFonts w:cs="Tahoma"/>
                <w:i/>
                <w:iCs/>
                <w:szCs w:val="24"/>
              </w:rPr>
            </w:pPr>
            <w:r>
              <w:rPr>
                <w:rFonts w:cs="Tahoma"/>
                <w:i/>
                <w:iCs/>
                <w:szCs w:val="24"/>
              </w:rPr>
              <w:t>For Review Only</w:t>
            </w:r>
          </w:p>
        </w:tc>
      </w:tr>
      <w:tr w:rsidR="0077685D" w:rsidRPr="00853CD2" w14:paraId="5BCC781C" w14:textId="77777777">
        <w:tc>
          <w:tcPr>
            <w:tcW w:w="4950" w:type="dxa"/>
            <w:vAlign w:val="center"/>
          </w:tcPr>
          <w:p w14:paraId="3BE3CFD1" w14:textId="77777777" w:rsidR="0077685D" w:rsidRDefault="0077685D" w:rsidP="0077685D">
            <w:pPr>
              <w:spacing w:after="0"/>
              <w:rPr>
                <w:rFonts w:cs="Tahoma"/>
                <w:szCs w:val="24"/>
              </w:rPr>
            </w:pPr>
            <w:r>
              <w:rPr>
                <w:rFonts w:cs="Tahoma"/>
                <w:szCs w:val="24"/>
              </w:rPr>
              <w:t>Special Terms and Conditions</w:t>
            </w:r>
          </w:p>
          <w:p w14:paraId="4865F9B6" w14:textId="77777777" w:rsidR="0077685D" w:rsidRDefault="0077685D" w:rsidP="0077685D">
            <w:pPr>
              <w:pStyle w:val="ListParagraph"/>
              <w:numPr>
                <w:ilvl w:val="1"/>
                <w:numId w:val="65"/>
              </w:numPr>
              <w:rPr>
                <w:rFonts w:cs="Tahoma"/>
                <w:szCs w:val="24"/>
              </w:rPr>
            </w:pPr>
            <w:r>
              <w:rPr>
                <w:rFonts w:cs="Tahoma"/>
                <w:szCs w:val="24"/>
              </w:rPr>
              <w:t>Insolvency, Bankruptcy or Receivership</w:t>
            </w:r>
          </w:p>
          <w:p w14:paraId="140FE644" w14:textId="77777777" w:rsidR="0077685D" w:rsidRDefault="0077685D" w:rsidP="0077685D">
            <w:pPr>
              <w:pStyle w:val="ListParagraph"/>
              <w:numPr>
                <w:ilvl w:val="1"/>
                <w:numId w:val="65"/>
              </w:numPr>
              <w:rPr>
                <w:rFonts w:cs="Tahoma"/>
                <w:szCs w:val="24"/>
              </w:rPr>
            </w:pPr>
            <w:r>
              <w:rPr>
                <w:rFonts w:cs="Tahoma"/>
                <w:szCs w:val="24"/>
              </w:rPr>
              <w:t>DEBA Program</w:t>
            </w:r>
          </w:p>
          <w:p w14:paraId="6C3A9E9A" w14:textId="77777777" w:rsidR="0077685D" w:rsidRDefault="0077685D" w:rsidP="0077685D">
            <w:pPr>
              <w:pStyle w:val="ListParagraph"/>
              <w:numPr>
                <w:ilvl w:val="1"/>
                <w:numId w:val="65"/>
              </w:numPr>
              <w:rPr>
                <w:rFonts w:cs="Tahoma"/>
                <w:szCs w:val="24"/>
              </w:rPr>
            </w:pPr>
            <w:r>
              <w:rPr>
                <w:rFonts w:cs="Tahoma"/>
                <w:szCs w:val="24"/>
              </w:rPr>
              <w:t>Data Sharing Agreement</w:t>
            </w:r>
          </w:p>
          <w:p w14:paraId="474E61A4" w14:textId="3C0B019C" w:rsidR="0077685D" w:rsidRPr="005173D6" w:rsidRDefault="0077685D" w:rsidP="0077685D">
            <w:pPr>
              <w:pStyle w:val="ListParagraph"/>
              <w:numPr>
                <w:ilvl w:val="1"/>
                <w:numId w:val="65"/>
              </w:numPr>
              <w:rPr>
                <w:rFonts w:cs="Tahoma"/>
                <w:szCs w:val="24"/>
              </w:rPr>
            </w:pPr>
            <w:r>
              <w:rPr>
                <w:rFonts w:cs="Tahoma"/>
                <w:szCs w:val="24"/>
              </w:rPr>
              <w:t>California Native American Tribes and Tribal Organizations with Sovereign Immunity</w:t>
            </w:r>
          </w:p>
        </w:tc>
        <w:tc>
          <w:tcPr>
            <w:tcW w:w="2407" w:type="dxa"/>
            <w:vAlign w:val="center"/>
          </w:tcPr>
          <w:p w14:paraId="2504B3DC" w14:textId="59C66D20" w:rsidR="0077685D" w:rsidRDefault="0077685D" w:rsidP="0077685D">
            <w:pPr>
              <w:rPr>
                <w:rFonts w:cs="Tahoma"/>
                <w:szCs w:val="24"/>
              </w:rPr>
            </w:pPr>
            <w:r>
              <w:rPr>
                <w:rFonts w:cs="Tahoma"/>
                <w:szCs w:val="24"/>
              </w:rPr>
              <w:t>Attachment 15</w:t>
            </w:r>
          </w:p>
        </w:tc>
        <w:tc>
          <w:tcPr>
            <w:tcW w:w="2430" w:type="dxa"/>
          </w:tcPr>
          <w:p w14:paraId="4074CC40" w14:textId="441EC579" w:rsidR="0077685D" w:rsidRDefault="0077685D" w:rsidP="0077685D">
            <w:pPr>
              <w:rPr>
                <w:rFonts w:cs="Tahoma"/>
                <w:i/>
                <w:iCs/>
                <w:szCs w:val="24"/>
              </w:rPr>
            </w:pPr>
            <w:r>
              <w:rPr>
                <w:rFonts w:cs="Tahoma"/>
                <w:i/>
                <w:iCs/>
                <w:szCs w:val="24"/>
              </w:rPr>
              <w:t>For Review Only</w:t>
            </w:r>
          </w:p>
        </w:tc>
      </w:tr>
    </w:tbl>
    <w:p w14:paraId="100607AB" w14:textId="77777777" w:rsidR="00674AE1" w:rsidRPr="00C31C1D" w:rsidRDefault="00674AE1" w:rsidP="00674AE1"/>
    <w:p w14:paraId="5260EDF5" w14:textId="77777777" w:rsidR="00674AE1" w:rsidRPr="00CF6DED" w:rsidRDefault="00674AE1" w:rsidP="00816ADB">
      <w:pPr>
        <w:pStyle w:val="Heading3"/>
        <w:ind w:left="0"/>
      </w:pPr>
      <w:bookmarkStart w:id="158" w:name="_Toc428191083"/>
      <w:bookmarkStart w:id="159" w:name="_Toc177403895"/>
      <w:bookmarkStart w:id="160" w:name="_Toc201713575"/>
      <w:bookmarkStart w:id="161" w:name="_Toc219275113"/>
      <w:bookmarkStart w:id="162" w:name="_Toc336443630"/>
      <w:bookmarkStart w:id="163" w:name="_Toc366671186"/>
      <w:bookmarkStart w:id="164" w:name="_Toc243558540"/>
      <w:r w:rsidRPr="00CF6DED">
        <w:t>Method For Delivery</w:t>
      </w:r>
      <w:bookmarkEnd w:id="158"/>
      <w:bookmarkEnd w:id="159"/>
      <w:bookmarkEnd w:id="164"/>
    </w:p>
    <w:p w14:paraId="6B95AABD" w14:textId="4B750C73" w:rsidR="00674AE1" w:rsidRPr="004C4096" w:rsidRDefault="00674AE1" w:rsidP="00674AE1">
      <w:pPr>
        <w:rPr>
          <w:b/>
        </w:rPr>
      </w:pPr>
      <w:bookmarkStart w:id="165" w:name="_Toc177403896"/>
      <w:bookmarkStart w:id="166" w:name="_Toc219275114"/>
      <w:bookmarkStart w:id="167" w:name="_Toc336443632"/>
      <w:bookmarkStart w:id="168" w:name="_Toc366671188"/>
      <w:bookmarkEnd w:id="160"/>
      <w:bookmarkEnd w:id="161"/>
      <w:bookmarkEnd w:id="162"/>
      <w:bookmarkEnd w:id="163"/>
      <w:r>
        <w:t xml:space="preserve">The </w:t>
      </w:r>
      <w:r w:rsidRPr="00C255F6">
        <w:rPr>
          <w:b/>
        </w:rPr>
        <w:t>only</w:t>
      </w:r>
      <w:r>
        <w:t xml:space="preserve"> method of submitting applications to this solicitation is the </w:t>
      </w:r>
      <w:r w:rsidRPr="005926B0">
        <w:t>CEC Agreement Management System (ECAMS) webpage</w:t>
      </w:r>
      <w:r>
        <w:t xml:space="preserve"> at </w:t>
      </w:r>
      <w:hyperlink r:id="rId39" w:history="1">
        <w:r w:rsidRPr="005926B0">
          <w:rPr>
            <w:rStyle w:val="Hyperlink"/>
          </w:rPr>
          <w:t>https://ecams.energy.ca.gov</w:t>
        </w:r>
      </w:hyperlink>
      <w:r>
        <w:t xml:space="preserve">. ECAMS allows Applicants to complete and submit their application to the CEC prior to the date and time specified in this solicitation. Files uploaded to the system must be in Microsoft Word XP (.doc format) or newer and Excel Office Suite formats unless originally provided in the solicitation in another format. Attachments requiring signatures, such as the application form and match funding commitment letters, may be scanned and submitted in PDF format. Completed Attachment 06 Budget must be in Excel format. </w:t>
      </w:r>
    </w:p>
    <w:p w14:paraId="67C41396" w14:textId="77777777" w:rsidR="00674AE1" w:rsidRPr="00263409" w:rsidRDefault="00674AE1" w:rsidP="00674AE1">
      <w:pPr>
        <w:rPr>
          <w:b/>
        </w:rPr>
      </w:pPr>
      <w:r w:rsidRPr="00263409">
        <w:rPr>
          <w:b/>
        </w:rPr>
        <w:t>The deadline to submit applications through ECAMS system is 11:59 p.m. on the deadline to submit applications date shown in the key activities schedule</w:t>
      </w:r>
      <w:r>
        <w:rPr>
          <w:b/>
        </w:rPr>
        <w:t xml:space="preserve"> located in section I.D</w:t>
      </w:r>
      <w:r w:rsidRPr="00263409">
        <w:rPr>
          <w:b/>
        </w:rPr>
        <w:t xml:space="preserve">. ECAMS automatically closes at 11:59 pm. If the full </w:t>
      </w:r>
      <w:r w:rsidRPr="00263409">
        <w:rPr>
          <w:b/>
        </w:rPr>
        <w:lastRenderedPageBreak/>
        <w:t xml:space="preserve">submittal process has not been completed before 11:59 p.m., your application will not be considered.   </w:t>
      </w:r>
    </w:p>
    <w:p w14:paraId="6830564E" w14:textId="77777777" w:rsidR="00674AE1" w:rsidRPr="004C4096" w:rsidRDefault="00674AE1" w:rsidP="00674AE1">
      <w:pPr>
        <w:rPr>
          <w:bCs/>
        </w:rPr>
      </w:pPr>
      <w:r w:rsidRPr="004C4096">
        <w:rPr>
          <w:bCs/>
        </w:rPr>
        <w:t>The CEC strongly encourages Applicants to upload and submit all applications by 5:00 p.m. because CEC staff will not be available after 5:00 p.m. or on weekends to assist with the upload process.</w:t>
      </w:r>
      <w:r>
        <w:rPr>
          <w:bCs/>
        </w:rPr>
        <w:t xml:space="preserve"> W</w:t>
      </w:r>
      <w:r w:rsidRPr="004C4096">
        <w:rPr>
          <w:bCs/>
        </w:rPr>
        <w:t>hile we endeavor to assist all would-be applicants, we can</w:t>
      </w:r>
      <w:r>
        <w:rPr>
          <w:bCs/>
        </w:rPr>
        <w:t>not</w:t>
      </w:r>
      <w:r w:rsidRPr="004C4096">
        <w:rPr>
          <w:bCs/>
        </w:rPr>
        <w:t xml:space="preserve"> guarantee staff will be available for in-person consultation on the due date, so please plan accordingly.  </w:t>
      </w:r>
    </w:p>
    <w:p w14:paraId="216BCEFF" w14:textId="77777777" w:rsidR="00674AE1" w:rsidRDefault="00674AE1" w:rsidP="00674AE1">
      <w:pPr>
        <w:rPr>
          <w:bCs/>
        </w:rPr>
      </w:pPr>
      <w:r w:rsidRPr="004C4096">
        <w:rPr>
          <w:bCs/>
        </w:rPr>
        <w:t xml:space="preserve">Please give yourself ample time to complete all steps of the submission process: do not wait until right before the deadline to begin the process. Due to factors outside the CEC’s control and unrelated to ECAMS, upload times may be much longer than expected. For example, unexpected issues could occur, causing long delays that prevent timely submission. </w:t>
      </w:r>
    </w:p>
    <w:p w14:paraId="3FF0CC40" w14:textId="179A139B" w:rsidR="00674AE1" w:rsidRDefault="00674AE1" w:rsidP="00674AE1">
      <w:r w:rsidRPr="004C4096">
        <w:rPr>
          <w:bCs/>
        </w:rPr>
        <w:t xml:space="preserve">For instructions on how to apply using the ECAMS system, please see the How to Apply document available on the </w:t>
      </w:r>
      <w:hyperlink r:id="rId40" w:history="1">
        <w:r w:rsidRPr="00834456">
          <w:rPr>
            <w:rStyle w:val="Hyperlink"/>
            <w:rFonts w:cs="Arial"/>
            <w:bCs/>
          </w:rPr>
          <w:t>CEC Funding Resources</w:t>
        </w:r>
      </w:hyperlink>
      <w:r w:rsidRPr="00ED4DF1">
        <w:rPr>
          <w:bCs/>
        </w:rPr>
        <w:t xml:space="preserve"> webpage</w:t>
      </w:r>
      <w:r w:rsidR="00834456">
        <w:rPr>
          <w:bCs/>
        </w:rPr>
        <w:t xml:space="preserve"> </w:t>
      </w:r>
      <w:r>
        <w:t>under General Funding Information, Energy Commission Agreement Management System (ECAMS)</w:t>
      </w:r>
      <w:r w:rsidRPr="004C4096">
        <w:rPr>
          <w:bCs/>
        </w:rPr>
        <w:t>. </w:t>
      </w:r>
      <w:r>
        <w:t xml:space="preserve"> First time users must register as a new user to access the system. There will be two types of user accounts to establish: 1) An organizational account, for the entity applying to the solicitation; and 2) user accounts for individuals who will be submitting the application on behalf of the organization. The CEC is providing a team of technical assistants to support applicants with this new process. Please email </w:t>
      </w:r>
      <w:hyperlink r:id="rId41" w:history="1">
        <w:r w:rsidRPr="007F4FC5">
          <w:rPr>
            <w:rStyle w:val="Hyperlink"/>
            <w:rFonts w:cs="Arial"/>
          </w:rPr>
          <w:t>ECAMS.SalesforceSupport@energy.ca.gov</w:t>
        </w:r>
      </w:hyperlink>
      <w:r>
        <w:t xml:space="preserve"> for support.</w:t>
      </w:r>
    </w:p>
    <w:p w14:paraId="13D89542" w14:textId="77777777" w:rsidR="00674AE1" w:rsidRDefault="00674AE1" w:rsidP="00674AE1">
      <w:r>
        <w:t>Applicants will be required to upload all attachments marked “required” in the system for the application to be submitted.</w:t>
      </w:r>
    </w:p>
    <w:p w14:paraId="76E2CEEE" w14:textId="77777777" w:rsidR="00674AE1" w:rsidRDefault="00674AE1" w:rsidP="00674AE1">
      <w:r w:rsidRPr="0071171A">
        <w:rPr>
          <w:rFonts w:cs="Tahoma"/>
          <w:b/>
          <w:bCs/>
          <w:color w:val="000000" w:themeColor="text1"/>
        </w:rPr>
        <w:t>Hard copies, or submissions via email or fax will not be accepted for this solicitation.</w:t>
      </w:r>
    </w:p>
    <w:p w14:paraId="76296503" w14:textId="77777777" w:rsidR="00674AE1" w:rsidRDefault="00674AE1" w:rsidP="00816ADB">
      <w:pPr>
        <w:pStyle w:val="Heading3"/>
        <w:ind w:left="0"/>
      </w:pPr>
      <w:bookmarkStart w:id="169" w:name="_Toc243558541"/>
      <w:r>
        <w:t>Modifying or withdrawal of application</w:t>
      </w:r>
      <w:bookmarkEnd w:id="169"/>
    </w:p>
    <w:p w14:paraId="2D151B4D" w14:textId="4CFCCAD9" w:rsidR="00674AE1" w:rsidRPr="00184434" w:rsidRDefault="00674AE1" w:rsidP="00674AE1">
      <w:pPr>
        <w:rPr>
          <w:rFonts w:cs="Tahoma"/>
        </w:rPr>
      </w:pPr>
      <w:r w:rsidRPr="1544B4BC">
        <w:rPr>
          <w:rFonts w:cs="Tahoma"/>
        </w:rPr>
        <w:t xml:space="preserve">Applicants may, by letter to the CAO at the CEC, withdraw or modify any submitted application before the deadline identified in </w:t>
      </w:r>
      <w:r w:rsidR="00EF6636">
        <w:rPr>
          <w:rFonts w:cs="Tahoma"/>
        </w:rPr>
        <w:t xml:space="preserve">Section I.D “Key Activities and Dates”. </w:t>
      </w:r>
      <w:r w:rsidRPr="1544B4BC">
        <w:rPr>
          <w:rFonts w:cs="Tahoma"/>
        </w:rPr>
        <w:t xml:space="preserve">Applications cannot be changed after the submittal deadline. </w:t>
      </w:r>
    </w:p>
    <w:p w14:paraId="1DC53284" w14:textId="77777777" w:rsidR="00674AE1" w:rsidRPr="00184434" w:rsidRDefault="00674AE1" w:rsidP="00674AE1">
      <w:pPr>
        <w:rPr>
          <w:rFonts w:cs="Tahoma"/>
          <w:szCs w:val="22"/>
        </w:rPr>
      </w:pPr>
      <w:r w:rsidRPr="00184434">
        <w:rPr>
          <w:rFonts w:cs="Tahoma"/>
          <w:szCs w:val="22"/>
        </w:rPr>
        <w:t>A submitted application or term cannot be “timed” to expire on a specific date. For example, a statement such as the following, “This application and the cost estimate are valid for 60 days” is considered non-responsive to the Solicitation and will be scored as such.</w:t>
      </w:r>
    </w:p>
    <w:p w14:paraId="312FA7C1" w14:textId="77777777" w:rsidR="00674AE1" w:rsidRPr="00CF6DED" w:rsidRDefault="00674AE1" w:rsidP="00816ADB">
      <w:pPr>
        <w:pStyle w:val="Heading3"/>
        <w:ind w:left="0"/>
      </w:pPr>
      <w:bookmarkStart w:id="170" w:name="_Toc243558542"/>
      <w:r>
        <w:t xml:space="preserve">Required </w:t>
      </w:r>
      <w:r w:rsidRPr="00CF6DED">
        <w:t xml:space="preserve">Application </w:t>
      </w:r>
      <w:r>
        <w:t>Attachments</w:t>
      </w:r>
      <w:bookmarkEnd w:id="165"/>
      <w:bookmarkEnd w:id="170"/>
    </w:p>
    <w:p w14:paraId="0C435AA1" w14:textId="19E44616" w:rsidR="00674AE1" w:rsidRDefault="00674AE1" w:rsidP="00674AE1">
      <w:pPr>
        <w:rPr>
          <w:rFonts w:cs="Tahoma"/>
          <w:szCs w:val="24"/>
        </w:rPr>
      </w:pPr>
      <w:bookmarkStart w:id="171" w:name="_Toc381079929"/>
      <w:bookmarkStart w:id="172" w:name="_Toc382571192"/>
      <w:bookmarkStart w:id="173" w:name="_Toc395180702"/>
      <w:bookmarkStart w:id="174" w:name="_Toc433981331"/>
      <w:bookmarkStart w:id="175" w:name="_Toc35074593"/>
      <w:bookmarkStart w:id="176" w:name="_Toc366671191"/>
      <w:bookmarkEnd w:id="166"/>
      <w:bookmarkEnd w:id="167"/>
      <w:bookmarkEnd w:id="168"/>
      <w:r w:rsidRPr="00C31C1D">
        <w:t xml:space="preserve">Below is a description of each </w:t>
      </w:r>
      <w:r>
        <w:t xml:space="preserve">required </w:t>
      </w:r>
      <w:r w:rsidRPr="00C31C1D">
        <w:t>section</w:t>
      </w:r>
      <w:r>
        <w:t>, or attachments,</w:t>
      </w:r>
      <w:r w:rsidRPr="00C31C1D">
        <w:t xml:space="preserve"> of the application</w:t>
      </w:r>
      <w:r>
        <w:t>. R</w:t>
      </w:r>
      <w:r w:rsidRPr="00736A5C">
        <w:t xml:space="preserve">eference each individual attachment for </w:t>
      </w:r>
      <w:r>
        <w:t>more</w:t>
      </w:r>
      <w:r w:rsidRPr="00736A5C">
        <w:t xml:space="preserve"> detailed information.</w:t>
      </w:r>
      <w:r>
        <w:t xml:space="preserve"> Completeness in submitting all attachments with the required information will be factored into </w:t>
      </w:r>
      <w:r w:rsidRPr="00BF6C04">
        <w:t>application</w:t>
      </w:r>
      <w:r>
        <w:t xml:space="preserve"> scoring</w:t>
      </w:r>
      <w:bookmarkEnd w:id="171"/>
      <w:bookmarkEnd w:id="172"/>
      <w:bookmarkEnd w:id="173"/>
      <w:bookmarkEnd w:id="174"/>
      <w:r>
        <w:t>.</w:t>
      </w:r>
      <w:bookmarkEnd w:id="175"/>
      <w:bookmarkEnd w:id="176"/>
      <w:r w:rsidRPr="00C3791D">
        <w:rPr>
          <w:rFonts w:cs="Tahoma"/>
          <w:szCs w:val="24"/>
        </w:rPr>
        <w:t xml:space="preserve"> </w:t>
      </w:r>
      <w:r w:rsidRPr="00036022">
        <w:rPr>
          <w:rFonts w:cs="Tahoma"/>
          <w:szCs w:val="24"/>
        </w:rPr>
        <w:t>Failure to provide any attachment may result in disqualification of the application.</w:t>
      </w:r>
    </w:p>
    <w:p w14:paraId="0EF878DB" w14:textId="77777777" w:rsidR="00674AE1" w:rsidRPr="00506D65" w:rsidRDefault="00674AE1">
      <w:pPr>
        <w:pStyle w:val="Heading4"/>
        <w:numPr>
          <w:ilvl w:val="0"/>
          <w:numId w:val="74"/>
        </w:numPr>
        <w:ind w:left="360"/>
      </w:pPr>
      <w:bookmarkStart w:id="177" w:name="_Toc243558543"/>
      <w:r>
        <w:lastRenderedPageBreak/>
        <w:t>Application Form (Attachment 01)</w:t>
      </w:r>
      <w:bookmarkEnd w:id="177"/>
      <w:r>
        <w:t xml:space="preserve"> </w:t>
      </w:r>
    </w:p>
    <w:p w14:paraId="6D411D08" w14:textId="77777777" w:rsidR="00674AE1" w:rsidRDefault="00674AE1" w:rsidP="00674AE1">
      <w:r>
        <w:t xml:space="preserve">The application form </w:t>
      </w:r>
      <w:r w:rsidRPr="009D0431">
        <w:t xml:space="preserve">provides the CEC with basic information about the applicant and the project. Each applicant must complete and sign this form as a .pdf. If an applicant submits multiple applications, each application must be for a distinct project </w:t>
      </w:r>
      <w:r>
        <w:t>(see Section II.A.1 “Eligibility”).</w:t>
      </w:r>
    </w:p>
    <w:p w14:paraId="7603B3F0" w14:textId="77777777" w:rsidR="00674AE1" w:rsidRPr="007065BB" w:rsidRDefault="00674AE1">
      <w:pPr>
        <w:pStyle w:val="Heading4"/>
        <w:numPr>
          <w:ilvl w:val="0"/>
          <w:numId w:val="74"/>
        </w:numPr>
        <w:ind w:left="360"/>
      </w:pPr>
      <w:bookmarkStart w:id="178" w:name="_Toc243558544"/>
      <w:r w:rsidRPr="00F87CF8">
        <w:t xml:space="preserve">Project </w:t>
      </w:r>
      <w:r w:rsidRPr="007065BB">
        <w:t xml:space="preserve">Narrative (Attachment </w:t>
      </w:r>
      <w:r>
        <w:t>02</w:t>
      </w:r>
      <w:r w:rsidRPr="007065BB">
        <w:t>)</w:t>
      </w:r>
      <w:bookmarkEnd w:id="178"/>
    </w:p>
    <w:p w14:paraId="071AFE18" w14:textId="77777777" w:rsidR="00674AE1" w:rsidRPr="00142AAE" w:rsidRDefault="00674AE1" w:rsidP="00674AE1">
      <w:r>
        <w:t xml:space="preserve">The project narrative provides a detailed description of the proposed project and tasks, explanation for how the program goals and objectives will be achieved, quantified and measured through the tasks described in Attachment 04 Scope of Work, and overall management of the agreement. The narrative must also respond directly to each criterion with the headings as listed in </w:t>
      </w:r>
      <w:r w:rsidDel="00EF07EE">
        <w:t>the</w:t>
      </w:r>
      <w:r>
        <w:t xml:space="preserve"> Scoring Criteria. </w:t>
      </w:r>
      <w:r w:rsidRPr="00C31C1D">
        <w:t>Electronic</w:t>
      </w:r>
      <w:r w:rsidRPr="00C31C1D">
        <w:rPr>
          <w:b/>
        </w:rPr>
        <w:t xml:space="preserve"> </w:t>
      </w:r>
      <w:r w:rsidRPr="00C17EB0">
        <w:t>files for</w:t>
      </w:r>
      <w:r>
        <w:t xml:space="preserve"> </w:t>
      </w:r>
      <w:r w:rsidRPr="00C17EB0">
        <w:t xml:space="preserve">the </w:t>
      </w:r>
      <w:r>
        <w:t xml:space="preserve">Project Narrative must be in </w:t>
      </w:r>
      <w:r w:rsidRPr="00495DDD">
        <w:t>MS Word</w:t>
      </w:r>
      <w:r>
        <w:t xml:space="preserve"> file forma</w:t>
      </w:r>
      <w:r w:rsidRPr="00495DDD">
        <w:t>t.</w:t>
      </w:r>
    </w:p>
    <w:p w14:paraId="31929498" w14:textId="77777777" w:rsidR="00674AE1" w:rsidRPr="007065BB" w:rsidRDefault="00674AE1">
      <w:pPr>
        <w:pStyle w:val="Heading4"/>
        <w:numPr>
          <w:ilvl w:val="0"/>
          <w:numId w:val="74"/>
        </w:numPr>
        <w:ind w:left="360"/>
      </w:pPr>
      <w:bookmarkStart w:id="179" w:name="_Toc243558545"/>
      <w:r w:rsidRPr="007065BB">
        <w:t xml:space="preserve">Project Team Form (Attachment </w:t>
      </w:r>
      <w:r>
        <w:t>03</w:t>
      </w:r>
      <w:r w:rsidRPr="007065BB">
        <w:t>)</w:t>
      </w:r>
      <w:bookmarkEnd w:id="179"/>
    </w:p>
    <w:p w14:paraId="5F5B55B2" w14:textId="77777777" w:rsidR="00674AE1" w:rsidRPr="00C31C1D" w:rsidRDefault="00674AE1" w:rsidP="00674AE1">
      <w:pPr>
        <w:rPr>
          <w:szCs w:val="22"/>
        </w:rPr>
      </w:pPr>
      <w:r w:rsidRPr="3425526E">
        <w:t xml:space="preserve">Identify by name all </w:t>
      </w:r>
      <w:r w:rsidRPr="00824876">
        <w:t>key personnel</w:t>
      </w:r>
      <w:r w:rsidRPr="3425526E">
        <w:t xml:space="preserve"> assigned to the project, including </w:t>
      </w:r>
      <w:r>
        <w:t>individuals</w:t>
      </w:r>
      <w:r w:rsidRPr="3425526E">
        <w:t xml:space="preserve"> employed by the </w:t>
      </w:r>
      <w:r>
        <w:t>A</w:t>
      </w:r>
      <w:r w:rsidRPr="3425526E">
        <w:t>pplicant</w:t>
      </w:r>
      <w:r>
        <w:t xml:space="preserve"> and any</w:t>
      </w:r>
      <w:r w:rsidRPr="3425526E">
        <w:t xml:space="preserve"> subrecipient</w:t>
      </w:r>
      <w:r>
        <w:t>(s)</w:t>
      </w:r>
      <w:r w:rsidRPr="3425526E">
        <w:t>, including the project manager and principal investigator (if applicable)</w:t>
      </w:r>
      <w:r>
        <w:rPr>
          <w:szCs w:val="22"/>
        </w:rPr>
        <w:t xml:space="preserve">, </w:t>
      </w:r>
      <w:r w:rsidRPr="3425526E">
        <w:t>and individuals employed by any major sub</w:t>
      </w:r>
      <w:r>
        <w:t>-</w:t>
      </w:r>
      <w:r w:rsidRPr="3425526E">
        <w:t>subrecipient</w:t>
      </w:r>
      <w:r w:rsidRPr="00945653">
        <w:rPr>
          <w:szCs w:val="22"/>
        </w:rPr>
        <w:t xml:space="preserve"> </w:t>
      </w:r>
      <w:r w:rsidRPr="3425526E">
        <w:t>(</w:t>
      </w:r>
      <w:r>
        <w:t xml:space="preserve">defined as </w:t>
      </w:r>
      <w:r w:rsidRPr="3425526E">
        <w:t xml:space="preserve">receiving $100,000 or more of </w:t>
      </w:r>
      <w:r>
        <w:t>CEC</w:t>
      </w:r>
      <w:r w:rsidRPr="3425526E">
        <w:t xml:space="preserve"> funds)</w:t>
      </w:r>
      <w:r w:rsidRPr="00945653">
        <w:rPr>
          <w:szCs w:val="22"/>
        </w:rPr>
        <w:t>.</w:t>
      </w:r>
      <w:r>
        <w:rPr>
          <w:szCs w:val="22"/>
        </w:rPr>
        <w:t xml:space="preserve"> </w:t>
      </w:r>
      <w:r w:rsidRPr="3425526E">
        <w:t>Clearly describe their individual areas of responsibility.</w:t>
      </w:r>
      <w:r w:rsidRPr="00C31C1D">
        <w:rPr>
          <w:szCs w:val="22"/>
        </w:rPr>
        <w:t xml:space="preserve"> </w:t>
      </w:r>
      <w:r w:rsidRPr="3425526E">
        <w:t xml:space="preserve">Include the information required for </w:t>
      </w:r>
      <w:proofErr w:type="gramStart"/>
      <w:r w:rsidRPr="3425526E">
        <w:t>each individual</w:t>
      </w:r>
      <w:proofErr w:type="gramEnd"/>
      <w:r w:rsidRPr="3425526E">
        <w:t>, including</w:t>
      </w:r>
      <w:r w:rsidRPr="00C31C1D">
        <w:rPr>
          <w:szCs w:val="22"/>
        </w:rPr>
        <w:t xml:space="preserve"> </w:t>
      </w:r>
      <w:r w:rsidRPr="3425526E">
        <w:t>a resume (maximum two pages</w:t>
      </w:r>
      <w:r>
        <w:t xml:space="preserve"> per person</w:t>
      </w:r>
      <w:r w:rsidRPr="3425526E">
        <w:t>)</w:t>
      </w:r>
      <w:r w:rsidRPr="00C31C1D">
        <w:rPr>
          <w:szCs w:val="22"/>
        </w:rPr>
        <w:t>.</w:t>
      </w:r>
    </w:p>
    <w:p w14:paraId="4DF37CA2" w14:textId="77777777" w:rsidR="00674AE1" w:rsidRPr="007065BB" w:rsidRDefault="00674AE1">
      <w:pPr>
        <w:pStyle w:val="Heading4"/>
        <w:numPr>
          <w:ilvl w:val="0"/>
          <w:numId w:val="74"/>
        </w:numPr>
        <w:ind w:left="360"/>
      </w:pPr>
      <w:bookmarkStart w:id="180" w:name="_Toc243558546"/>
      <w:r w:rsidRPr="007065BB">
        <w:t xml:space="preserve">Scope of Work (Attachment </w:t>
      </w:r>
      <w:r>
        <w:t>04</w:t>
      </w:r>
      <w:r w:rsidRPr="007065BB">
        <w:t>)</w:t>
      </w:r>
      <w:bookmarkEnd w:id="180"/>
    </w:p>
    <w:p w14:paraId="752AB353" w14:textId="18FED0DC" w:rsidR="00674AE1" w:rsidRPr="00142AAE" w:rsidRDefault="00674AE1" w:rsidP="00674AE1">
      <w:r w:rsidRPr="00C31C1D">
        <w:t>Applicants must include a completed Scope of Work for each project</w:t>
      </w:r>
      <w:r>
        <w:t>, as instructed in the template, that conforms to the description of activities in Attachment 02 Project Narrative</w:t>
      </w:r>
      <w:r w:rsidRPr="00C31C1D">
        <w:t xml:space="preserve">. The Scope of Work identifies the tasks </w:t>
      </w:r>
      <w:r>
        <w:t>required</w:t>
      </w:r>
      <w:r w:rsidRPr="00C31C1D">
        <w:t xml:space="preserve"> to complete the project. </w:t>
      </w:r>
      <w:r w:rsidRPr="004F0EA0">
        <w:t>Applicants’ Scope of Work should describe all tasks necessary to complete the entire project.</w:t>
      </w:r>
      <w:r w:rsidRPr="00824876">
        <w:t xml:space="preserve"> </w:t>
      </w:r>
      <w:r w:rsidRPr="00C31C1D">
        <w:t>Electronic</w:t>
      </w:r>
      <w:r w:rsidRPr="00824876">
        <w:t xml:space="preserve"> </w:t>
      </w:r>
      <w:r w:rsidRPr="00C17EB0">
        <w:t>files for</w:t>
      </w:r>
      <w:r>
        <w:t xml:space="preserve"> </w:t>
      </w:r>
      <w:r w:rsidRPr="00C17EB0">
        <w:t xml:space="preserve">the Scope of Work </w:t>
      </w:r>
      <w:r>
        <w:t xml:space="preserve">must be in </w:t>
      </w:r>
      <w:r w:rsidRPr="00495DDD">
        <w:t>MS Word</w:t>
      </w:r>
      <w:r>
        <w:t xml:space="preserve"> file forma</w:t>
      </w:r>
      <w:r w:rsidRPr="00495DDD">
        <w:t>t.</w:t>
      </w:r>
    </w:p>
    <w:p w14:paraId="022E624E" w14:textId="77777777" w:rsidR="00674AE1" w:rsidRDefault="00674AE1">
      <w:pPr>
        <w:pStyle w:val="Heading4"/>
        <w:numPr>
          <w:ilvl w:val="0"/>
          <w:numId w:val="74"/>
        </w:numPr>
        <w:ind w:left="360"/>
      </w:pPr>
      <w:bookmarkStart w:id="181" w:name="_Toc35074602"/>
      <w:bookmarkStart w:id="182" w:name="_Toc243558547"/>
      <w:r>
        <w:t>Project Schedule (Attachment 05)</w:t>
      </w:r>
      <w:bookmarkEnd w:id="182"/>
    </w:p>
    <w:p w14:paraId="487DF438" w14:textId="707BDB9D" w:rsidR="00674AE1" w:rsidRPr="00CC1385" w:rsidRDefault="00674AE1" w:rsidP="00674AE1">
      <w:r>
        <w:t>The Project Schedule includes a list of all products, meetings, and due dates</w:t>
      </w:r>
      <w:r w:rsidR="00696AB7">
        <w:t xml:space="preserve"> for deliverables</w:t>
      </w:r>
      <w:r>
        <w:t xml:space="preserve">. The timeline should also include the </w:t>
      </w:r>
      <w:r w:rsidR="00DB4C23">
        <w:t>anticipated project online date</w:t>
      </w:r>
      <w:r>
        <w:t xml:space="preserve">. </w:t>
      </w:r>
      <w:r w:rsidRPr="003B24B0">
        <w:t xml:space="preserve">All work must </w:t>
      </w:r>
      <w:r w:rsidR="00721A75">
        <w:t>align with</w:t>
      </w:r>
      <w:r>
        <w:t xml:space="preserve"> the Key Activities and Dates listed in Section I.D</w:t>
      </w:r>
      <w:r w:rsidRPr="003B24B0">
        <w:t>.</w:t>
      </w:r>
      <w:r>
        <w:t xml:space="preserve"> Electronic files for the Project Schedule must be in </w:t>
      </w:r>
      <w:r w:rsidRPr="00CC1385">
        <w:t>MS Excel</w:t>
      </w:r>
      <w:r>
        <w:t xml:space="preserve"> file format. </w:t>
      </w:r>
    </w:p>
    <w:p w14:paraId="230EF6CB" w14:textId="717D73AB" w:rsidR="00674AE1" w:rsidRPr="002C6CD0" w:rsidRDefault="00674AE1">
      <w:pPr>
        <w:pStyle w:val="Heading4"/>
        <w:numPr>
          <w:ilvl w:val="0"/>
          <w:numId w:val="74"/>
        </w:numPr>
        <w:ind w:left="360"/>
      </w:pPr>
      <w:bookmarkStart w:id="183" w:name="_Toc243558548"/>
      <w:r w:rsidRPr="002C6CD0">
        <w:t xml:space="preserve">Budget (Attachment </w:t>
      </w:r>
      <w:r>
        <w:t>06</w:t>
      </w:r>
      <w:r w:rsidRPr="002C6CD0">
        <w:t>)</w:t>
      </w:r>
      <w:bookmarkEnd w:id="183"/>
    </w:p>
    <w:bookmarkEnd w:id="181"/>
    <w:p w14:paraId="101E8A30" w14:textId="77777777" w:rsidR="00674AE1" w:rsidRDefault="00674AE1" w:rsidP="00674AE1">
      <w:r w:rsidRPr="00C5570C">
        <w:t xml:space="preserve">The budget forms </w:t>
      </w:r>
      <w:r>
        <w:t>must be</w:t>
      </w:r>
      <w:r w:rsidRPr="00C5570C">
        <w:t xml:space="preserve"> in MS Excel format. Detailed instructions for completing them are included at the beginning of Attachment </w:t>
      </w:r>
      <w:r>
        <w:t>06 Budget.</w:t>
      </w:r>
      <w:r w:rsidRPr="00C5570C">
        <w:t xml:space="preserve"> </w:t>
      </w:r>
      <w:r w:rsidRPr="00C5570C">
        <w:rPr>
          <w:b/>
        </w:rPr>
        <w:t>Read the instructions before completing the worksheets</w:t>
      </w:r>
      <w:r w:rsidRPr="00C5570C">
        <w:t xml:space="preserve">. Complete and submit information on </w:t>
      </w:r>
      <w:r w:rsidRPr="00C5570C">
        <w:rPr>
          <w:b/>
        </w:rPr>
        <w:t>all</w:t>
      </w:r>
      <w:r w:rsidRPr="00C5570C">
        <w:t xml:space="preserve"> budget worksheets. </w:t>
      </w:r>
      <w:r w:rsidRPr="00A33AEA">
        <w:t>The CEC will discuss the proposed budget with Recipients, suggest amendments, and reserves the right to determine the initial and subsequent funding levels for the agreement resulting from this solicitation. If there is no agreement on the budget, CEC reserves right to cancel the award.</w:t>
      </w:r>
    </w:p>
    <w:p w14:paraId="7EA80F01" w14:textId="0625A405" w:rsidR="00674AE1" w:rsidRPr="00A33AEA" w:rsidRDefault="00674AE1" w:rsidP="00674AE1">
      <w:pPr>
        <w:numPr>
          <w:ilvl w:val="0"/>
          <w:numId w:val="46"/>
        </w:numPr>
      </w:pPr>
      <w:r w:rsidRPr="000A274B">
        <w:lastRenderedPageBreak/>
        <w:t>The salaries, rates, and other costs entered must reflect the salaries, rates, and other costs the Applicant would include if selected as a grant recipient.</w:t>
      </w:r>
      <w:r w:rsidRPr="00A33AEA">
        <w:t xml:space="preserve"> </w:t>
      </w:r>
      <w:r w:rsidRPr="000A274B">
        <w:t xml:space="preserve">A separate set of complete budget forms is required for the Applicant and for each </w:t>
      </w:r>
      <w:r w:rsidR="007921DF">
        <w:t>subrecipient</w:t>
      </w:r>
      <w:r w:rsidR="007921DF" w:rsidRPr="000A274B">
        <w:t xml:space="preserve"> </w:t>
      </w:r>
      <w:r w:rsidR="007921DF">
        <w:t>receiving</w:t>
      </w:r>
      <w:r w:rsidRPr="000A274B">
        <w:t xml:space="preserve"> $100,000 or more of CEC funds.</w:t>
      </w:r>
      <w:r w:rsidRPr="00A33AEA">
        <w:t xml:space="preserve"> </w:t>
      </w:r>
      <w:r w:rsidRPr="00C5570C">
        <w:t xml:space="preserve">The salaries, rates, and other costs entered on the worksheets will become a part of </w:t>
      </w:r>
      <w:r>
        <w:t>any</w:t>
      </w:r>
      <w:r w:rsidRPr="00C5570C">
        <w:t xml:space="preserve"> final agreement.</w:t>
      </w:r>
      <w:r w:rsidRPr="00A33AEA">
        <w:t xml:space="preserve"> </w:t>
      </w:r>
    </w:p>
    <w:p w14:paraId="105482B7" w14:textId="77777777" w:rsidR="00674AE1" w:rsidRPr="006B68F5" w:rsidRDefault="00674AE1" w:rsidP="00674AE1">
      <w:pPr>
        <w:numPr>
          <w:ilvl w:val="0"/>
          <w:numId w:val="46"/>
        </w:numPr>
        <w:rPr>
          <w:szCs w:val="22"/>
        </w:rPr>
      </w:pPr>
      <w:r w:rsidRPr="00C45739">
        <w:t xml:space="preserve">All project expenditures (match share and reimbursable) must be made within the Anticipated Agreement Start and End dates listed in the Key Activities Schedule of this solicitation manual. Match share requirements are discussed </w:t>
      </w:r>
      <w:r>
        <w:t xml:space="preserve">earlier </w:t>
      </w:r>
      <w:r w:rsidRPr="00C45739">
        <w:t>in this solicitation</w:t>
      </w:r>
      <w:r>
        <w:t xml:space="preserve"> manual</w:t>
      </w:r>
      <w:r w:rsidRPr="00C45739">
        <w:t xml:space="preserve">. </w:t>
      </w:r>
    </w:p>
    <w:p w14:paraId="152768F2" w14:textId="77777777" w:rsidR="00674AE1" w:rsidRPr="00EA3B6F" w:rsidRDefault="00674AE1" w:rsidP="00674AE1">
      <w:pPr>
        <w:numPr>
          <w:ilvl w:val="0"/>
          <w:numId w:val="46"/>
        </w:numPr>
      </w:pPr>
      <w:r w:rsidRPr="003366FA">
        <w:t xml:space="preserve">The purchase of equipment (defined as items with a unit cost greater than $5,000 and a useful life of greater than one year) with CEC funds will require disposition of purchased equipment at the end of the project. Typically, grant recipients may continue to utilize equipment purchased with CEC funds </w:t>
      </w:r>
      <w:proofErr w:type="gramStart"/>
      <w:r w:rsidRPr="003366FA">
        <w:t>as long as</w:t>
      </w:r>
      <w:proofErr w:type="gramEnd"/>
      <w:r w:rsidRPr="003366FA">
        <w:t xml:space="preserve"> the use is consistent with the intent of the original agreement. There are no disposition requirements for equipment purchased with match share funding.</w:t>
      </w:r>
    </w:p>
    <w:p w14:paraId="23F1C3D0" w14:textId="127BEEAF" w:rsidR="00674AE1" w:rsidRPr="00FB7AFA" w:rsidRDefault="00674AE1" w:rsidP="00674AE1">
      <w:pPr>
        <w:numPr>
          <w:ilvl w:val="0"/>
          <w:numId w:val="46"/>
        </w:numPr>
        <w:rPr>
          <w:szCs w:val="22"/>
        </w:rPr>
      </w:pPr>
      <w:r w:rsidDel="00C45739">
        <w:t xml:space="preserve">The budget must reflect estimates for </w:t>
      </w:r>
      <w:r w:rsidRPr="00A525C9" w:rsidDel="00C45739">
        <w:t>actual</w:t>
      </w:r>
      <w:r w:rsidDel="00C45739">
        <w:t xml:space="preserve"> costs to be incurred during the </w:t>
      </w:r>
      <w:r>
        <w:t xml:space="preserve">full </w:t>
      </w:r>
      <w:r w:rsidDel="00C45739">
        <w:t>agreement term.</w:t>
      </w:r>
      <w:r w:rsidRPr="00FB7AFA" w:rsidDel="00C45739">
        <w:rPr>
          <w:szCs w:val="22"/>
        </w:rPr>
        <w:t xml:space="preserve"> The CEC may only approve and reimburse for actual costs that are properly documented in accordance with the grant agreement terms and conditions</w:t>
      </w:r>
      <w:r>
        <w:rPr>
          <w:szCs w:val="22"/>
        </w:rPr>
        <w:t>, and</w:t>
      </w:r>
      <w:r w:rsidR="001D1856">
        <w:rPr>
          <w:szCs w:val="22"/>
        </w:rPr>
        <w:t>, if applicable,</w:t>
      </w:r>
      <w:r>
        <w:rPr>
          <w:szCs w:val="22"/>
        </w:rPr>
        <w:t xml:space="preserve"> for which federal approval has been received</w:t>
      </w:r>
      <w:r w:rsidRPr="00FB7AFA" w:rsidDel="00C45739">
        <w:rPr>
          <w:szCs w:val="22"/>
        </w:rPr>
        <w:t xml:space="preserve">. Rates and personnel shown must reflect the rates and personnel the </w:t>
      </w:r>
      <w:r>
        <w:rPr>
          <w:szCs w:val="22"/>
        </w:rPr>
        <w:t>A</w:t>
      </w:r>
      <w:r w:rsidRPr="00FB7AFA" w:rsidDel="00C45739">
        <w:rPr>
          <w:szCs w:val="22"/>
        </w:rPr>
        <w:t>pplicant would include if selected as a Recipient.</w:t>
      </w:r>
    </w:p>
    <w:p w14:paraId="0CF1C960" w14:textId="3382C0E8" w:rsidR="00674AE1" w:rsidRPr="00D245B0" w:rsidRDefault="00674AE1" w:rsidP="7C022BAB">
      <w:pPr>
        <w:numPr>
          <w:ilvl w:val="0"/>
          <w:numId w:val="46"/>
        </w:numPr>
      </w:pPr>
      <w:r w:rsidRPr="7C022BAB">
        <w:rPr>
          <w:rFonts w:cs="Tahoma"/>
        </w:rPr>
        <w:t xml:space="preserve">The proposed rates are considered capped and may not change during the agreement term. </w:t>
      </w:r>
      <w:r>
        <w:t xml:space="preserve">The Recipient will only be reimbursed for actual rates up to the rate caps. The Recipient can only bill for actual expenses incurred at the Recipient’s actual rates not to exceed the rates specified in the Budget (e.g., direct labor rates, fringe benefit rates, and indirect rates). </w:t>
      </w:r>
      <w:r w:rsidR="20B16BC3">
        <w:t xml:space="preserve">For this solicitation, indirect rates may </w:t>
      </w:r>
      <w:r w:rsidR="00DD1520">
        <w:t>include</w:t>
      </w:r>
      <w:r w:rsidR="20B16BC3">
        <w:t xml:space="preserve"> any of the four listed in Public Resources Code, section 90133.</w:t>
      </w:r>
    </w:p>
    <w:p w14:paraId="32C70DF1" w14:textId="710287C3" w:rsidR="00674AE1" w:rsidRDefault="00674AE1" w:rsidP="00674AE1">
      <w:pPr>
        <w:numPr>
          <w:ilvl w:val="0"/>
          <w:numId w:val="46"/>
        </w:numPr>
      </w:pPr>
      <w:r>
        <w:t>The budget must NOT include any grant Recipient profit from the proposed project, either as a reimbursed item, match share, or as part of overhead or general and administrative expenses</w:t>
      </w:r>
      <w:r w:rsidR="4FF06CFC">
        <w:t>. S</w:t>
      </w:r>
      <w:r>
        <w:t xml:space="preserve">ubrecipient profit is </w:t>
      </w:r>
      <w:r w:rsidRPr="508A8812">
        <w:rPr>
          <w:rFonts w:cs="Tahoma"/>
        </w:rPr>
        <w:t>allowable</w:t>
      </w:r>
      <w:r w:rsidR="1724E9E7" w:rsidRPr="508A8812">
        <w:rPr>
          <w:rFonts w:cs="Tahoma"/>
        </w:rPr>
        <w:t xml:space="preserve"> </w:t>
      </w:r>
      <w:r w:rsidR="1CFC8D27" w:rsidRPr="508A8812">
        <w:rPr>
          <w:rFonts w:cs="Tahoma"/>
        </w:rPr>
        <w:t xml:space="preserve">under specific rules included in the terms and conditions of the grant agreement, </w:t>
      </w:r>
      <w:proofErr w:type="gramStart"/>
      <w:r w:rsidR="1724E9E7" w:rsidRPr="508A8812">
        <w:rPr>
          <w:rFonts w:cs="Tahoma"/>
        </w:rPr>
        <w:t>as long as</w:t>
      </w:r>
      <w:proofErr w:type="gramEnd"/>
      <w:r w:rsidR="1724E9E7" w:rsidRPr="508A8812">
        <w:rPr>
          <w:rFonts w:cs="Tahoma"/>
        </w:rPr>
        <w:t xml:space="preserve"> it</w:t>
      </w:r>
      <w:r w:rsidR="1FDEFB5E" w:rsidRPr="508A8812">
        <w:rPr>
          <w:rFonts w:cs="Tahoma"/>
        </w:rPr>
        <w:t xml:space="preserve"> is not used for </w:t>
      </w:r>
      <w:r w:rsidR="1FDEFB5E">
        <w:t>shareholder incentives or profits for shareholders of private corporations. For allowable subrecipient profits</w:t>
      </w:r>
      <w:r w:rsidR="00A30A71">
        <w:t>,</w:t>
      </w:r>
      <w:r w:rsidR="7EB102D8">
        <w:t xml:space="preserve"> generally</w:t>
      </w:r>
      <w:r>
        <w:t xml:space="preserve"> the maximum percentage allowed is 10% of the total subrecipient rates for labor and other direct and indirect costs as indicated in the Category Budget tab. Please review the terms and conditions and budget forms for additional restrictions and requirements</w:t>
      </w:r>
      <w:r w:rsidR="5A739155">
        <w:t xml:space="preserve"> for subrecipient and vendor profits</w:t>
      </w:r>
      <w:r>
        <w:t>.</w:t>
      </w:r>
    </w:p>
    <w:p w14:paraId="196E9485" w14:textId="77777777" w:rsidR="00674AE1" w:rsidRPr="00FB7AFA" w:rsidRDefault="00674AE1" w:rsidP="00674AE1">
      <w:pPr>
        <w:numPr>
          <w:ilvl w:val="0"/>
          <w:numId w:val="46"/>
        </w:numPr>
        <w:rPr>
          <w:szCs w:val="22"/>
        </w:rPr>
      </w:pPr>
      <w:r>
        <w:lastRenderedPageBreak/>
        <w:t>The budget must allow for the expenses of all meetings, products, and activities described in Attachment 04 Scope of Work. Meetings may be conducted at the CEC or by conference call, as determined by the CAM.</w:t>
      </w:r>
    </w:p>
    <w:p w14:paraId="42446E1C" w14:textId="77777777" w:rsidR="00674AE1" w:rsidRPr="00FB7AFA" w:rsidRDefault="00674AE1" w:rsidP="00674AE1">
      <w:pPr>
        <w:numPr>
          <w:ilvl w:val="0"/>
          <w:numId w:val="46"/>
        </w:numPr>
      </w:pPr>
      <w:r>
        <w:t xml:space="preserve">Applicants must budget for permits and insurance. Permitting costs may be accounted for in match share. Permit costs and the expenses associated with obtaining permits, including environmental review, are not reimbursable with CEC funds, except for costs incurred by University of California grant recipients. </w:t>
      </w:r>
    </w:p>
    <w:p w14:paraId="56410010" w14:textId="77777777" w:rsidR="00674AE1" w:rsidRPr="00FA65A5" w:rsidRDefault="00674AE1" w:rsidP="00674AE1">
      <w:pPr>
        <w:numPr>
          <w:ilvl w:val="0"/>
          <w:numId w:val="46"/>
        </w:numPr>
        <w:rPr>
          <w:szCs w:val="22"/>
        </w:rPr>
      </w:pPr>
      <w:r>
        <w:rPr>
          <w:bCs/>
        </w:rPr>
        <w:t>CEC</w:t>
      </w:r>
      <w:r w:rsidRPr="003A4967">
        <w:rPr>
          <w:bCs/>
        </w:rPr>
        <w:t xml:space="preserve"> funds </w:t>
      </w:r>
      <w:r>
        <w:rPr>
          <w:bCs/>
        </w:rPr>
        <w:t>may not</w:t>
      </w:r>
      <w:r w:rsidRPr="003A4967">
        <w:rPr>
          <w:bCs/>
        </w:rPr>
        <w:t xml:space="preserve"> be spent outside of the United States or for out</w:t>
      </w:r>
      <w:r>
        <w:rPr>
          <w:bCs/>
        </w:rPr>
        <w:t>-</w:t>
      </w:r>
      <w:r w:rsidRPr="003A4967">
        <w:rPr>
          <w:bCs/>
        </w:rPr>
        <w:t>of</w:t>
      </w:r>
      <w:r>
        <w:rPr>
          <w:bCs/>
        </w:rPr>
        <w:t>-state</w:t>
      </w:r>
      <w:r w:rsidRPr="003A4967">
        <w:rPr>
          <w:bCs/>
        </w:rPr>
        <w:t xml:space="preserve"> travel. However, match funds may cover these costs if there are no legal restrictions.</w:t>
      </w:r>
    </w:p>
    <w:p w14:paraId="16AC4221" w14:textId="77777777" w:rsidR="00674AE1" w:rsidRPr="00023CD1" w:rsidRDefault="00674AE1" w:rsidP="00674AE1">
      <w:pPr>
        <w:numPr>
          <w:ilvl w:val="0"/>
          <w:numId w:val="46"/>
        </w:numPr>
        <w:rPr>
          <w:rFonts w:eastAsia="Calibri"/>
        </w:rPr>
      </w:pPr>
      <w:r w:rsidRPr="004F15B4">
        <w:t>Prevailing wage requirement:</w:t>
      </w:r>
      <w:r>
        <w:t xml:space="preserve"> </w:t>
      </w:r>
      <w:r w:rsidRPr="00DF34CF">
        <w:rPr>
          <w:bCs/>
        </w:rPr>
        <w:t xml:space="preserve">Projects that receive an award of public funds from the </w:t>
      </w:r>
      <w:r>
        <w:rPr>
          <w:bCs/>
        </w:rPr>
        <w:t>CEC</w:t>
      </w:r>
      <w:r w:rsidRPr="00DF34CF">
        <w:rPr>
          <w:bCs/>
        </w:rPr>
        <w:t xml:space="preserve"> often involve construction, alteration, demolition, installation, repair or maintenance work over $1,000.</w:t>
      </w:r>
      <w:r>
        <w:rPr>
          <w:bCs/>
        </w:rPr>
        <w:t xml:space="preserve"> </w:t>
      </w:r>
    </w:p>
    <w:p w14:paraId="69719712" w14:textId="77777777" w:rsidR="00674AE1" w:rsidRDefault="00674AE1" w:rsidP="00674AE1">
      <w:pPr>
        <w:rPr>
          <w:bCs/>
        </w:rPr>
      </w:pPr>
      <w:r>
        <w:rPr>
          <w:bCs/>
        </w:rPr>
        <w:t>NOTE: Projects that receive an award of public funds from the CEC are likely to be considered public works under the California Labor Code. See Chapter 1 of Part7 of Division 2 of the California Labor Code, commencing with section 1720 and Title 8, CCR, Chapter 8, Subchapter 3, commencing with section 16000.</w:t>
      </w:r>
    </w:p>
    <w:p w14:paraId="45BD7863" w14:textId="77777777" w:rsidR="00674AE1" w:rsidRDefault="00674AE1" w:rsidP="00674AE1">
      <w:r>
        <w:rPr>
          <w:bCs/>
        </w:rPr>
        <w:t>Projects deemed to be public works require, among other things, the payment of prevailing wages.</w:t>
      </w:r>
    </w:p>
    <w:p w14:paraId="10C0488E" w14:textId="77777777" w:rsidR="00674AE1" w:rsidRDefault="00674AE1" w:rsidP="00674AE1">
      <w:pPr>
        <w:rPr>
          <w:bCs/>
        </w:rPr>
      </w:pPr>
      <w:r>
        <w:rPr>
          <w:bCs/>
        </w:rPr>
        <w:t>NOTE: Prevailing wage rates can be significantly higher than non-prevailing wage rates.</w:t>
      </w:r>
    </w:p>
    <w:p w14:paraId="3BAC3A37" w14:textId="77777777" w:rsidR="00674AE1" w:rsidRDefault="00674AE1" w:rsidP="00674AE1">
      <w:pPr>
        <w:rPr>
          <w:bCs/>
        </w:rPr>
      </w:pPr>
      <w:r>
        <w:rPr>
          <w:bCs/>
        </w:rPr>
        <w:t xml:space="preserve">By accepting this Agreement, Recipient as a material term of this Agreement shall be fully responsible for complying with all California public works requirements including, but not limited to, payment of prevailing wage as applicable. </w:t>
      </w:r>
    </w:p>
    <w:p w14:paraId="59422685" w14:textId="77777777" w:rsidR="00674AE1" w:rsidRDefault="00674AE1" w:rsidP="00674AE1">
      <w:pPr>
        <w:rPr>
          <w:bCs/>
        </w:rPr>
      </w:pPr>
      <w:r>
        <w:rPr>
          <w:bCs/>
        </w:rPr>
        <w:t xml:space="preserve">NOTE: Only the California Department of Industrial Relations (DIR) and courts of competent jurisdiction have jurisdiction to issue legally binding determinations that a particular project is or is not a public work. </w:t>
      </w:r>
    </w:p>
    <w:p w14:paraId="59CCB4A6" w14:textId="77777777" w:rsidR="00674AE1" w:rsidRDefault="00674AE1" w:rsidP="00674AE1">
      <w:pPr>
        <w:rPr>
          <w:bCs/>
        </w:rPr>
      </w:pPr>
      <w:r>
        <w:rPr>
          <w:bCs/>
        </w:rPr>
        <w:t xml:space="preserve">If the Recipient is unsure whether the project receiving this award is a “public work” as defined in the California Labor code, it may wish to seek a timely determination from the DIR or an appropriate court. </w:t>
      </w:r>
    </w:p>
    <w:p w14:paraId="1D3B3992" w14:textId="77777777" w:rsidR="00674AE1" w:rsidRPr="007C473A" w:rsidRDefault="00674AE1" w:rsidP="00674AE1">
      <w:pPr>
        <w:rPr>
          <w:rFonts w:eastAsia="Calibri"/>
        </w:rPr>
      </w:pPr>
      <w:r>
        <w:rPr>
          <w:bCs/>
        </w:rPr>
        <w:t xml:space="preserve">NOTE: California Prevailing Wage law provides for substantial damages and financial penalties for failure to pay prevailing wages when payment of prevailing wages is required. </w:t>
      </w:r>
    </w:p>
    <w:p w14:paraId="041C53C9" w14:textId="77777777" w:rsidR="00674AE1" w:rsidRDefault="00674AE1">
      <w:pPr>
        <w:pStyle w:val="Heading4"/>
        <w:numPr>
          <w:ilvl w:val="0"/>
          <w:numId w:val="74"/>
        </w:numPr>
        <w:ind w:left="360"/>
      </w:pPr>
      <w:bookmarkStart w:id="184" w:name="_Toc243558549"/>
      <w:r w:rsidRPr="0059570D">
        <w:t>CEQA Compliance Form</w:t>
      </w:r>
      <w:r w:rsidRPr="0059570D" w:rsidDel="00E3682B">
        <w:t xml:space="preserve"> </w:t>
      </w:r>
      <w:r w:rsidRPr="0059570D">
        <w:t xml:space="preserve">(Attachment </w:t>
      </w:r>
      <w:r>
        <w:t>07</w:t>
      </w:r>
      <w:r w:rsidRPr="0059570D">
        <w:t>)</w:t>
      </w:r>
      <w:bookmarkEnd w:id="184"/>
    </w:p>
    <w:p w14:paraId="4DC6ECE8" w14:textId="77777777" w:rsidR="00674AE1" w:rsidRPr="00B6779E" w:rsidRDefault="00674AE1" w:rsidP="00674AE1">
      <w:pPr>
        <w:rPr>
          <w:rFonts w:cs="Tahoma"/>
          <w:szCs w:val="24"/>
        </w:rPr>
      </w:pPr>
      <w:r w:rsidRPr="00B6779E">
        <w:rPr>
          <w:rFonts w:cs="Tahoma"/>
          <w:szCs w:val="24"/>
        </w:rPr>
        <w:t xml:space="preserve">The CEC requires the information on this form to facilitate its evaluation of proposed activities under CEQA </w:t>
      </w:r>
      <w:r>
        <w:rPr>
          <w:rFonts w:cs="Tahoma"/>
          <w:szCs w:val="24"/>
        </w:rPr>
        <w:t xml:space="preserve">- </w:t>
      </w:r>
      <w:r w:rsidRPr="00B6779E">
        <w:rPr>
          <w:rFonts w:cs="Tahoma"/>
          <w:szCs w:val="24"/>
        </w:rPr>
        <w:t xml:space="preserve">California </w:t>
      </w:r>
      <w:r w:rsidRPr="0059570D">
        <w:t xml:space="preserve">Environmental Quality Act </w:t>
      </w:r>
      <w:r w:rsidRPr="00B6779E">
        <w:rPr>
          <w:rFonts w:cs="Tahoma"/>
          <w:szCs w:val="24"/>
        </w:rPr>
        <w:t xml:space="preserve">(California Public Resources Code Section 21000 et. seq.), a law that requires state and local agencies in California to assess the potential environmental impacts of their proposed actions. The form will also help applicants to determine CEQA compliance obligations by identifying which proposed activities may be exempt from CEQA and which activities may require </w:t>
      </w:r>
      <w:r w:rsidRPr="00B6779E">
        <w:rPr>
          <w:rFonts w:cs="Tahoma"/>
          <w:szCs w:val="24"/>
        </w:rPr>
        <w:lastRenderedPageBreak/>
        <w:t>additional environmental review. If proposed activities are exempt from CEQA, the worksheet will help to identify and document this. This form must be completed regardless of whether the proposed activities are considered a “project” under CEQA.</w:t>
      </w:r>
      <w:r>
        <w:rPr>
          <w:rFonts w:cs="Tahoma"/>
          <w:szCs w:val="24"/>
        </w:rPr>
        <w:t xml:space="preserve"> </w:t>
      </w:r>
      <w:r w:rsidRPr="00EF058F">
        <w:rPr>
          <w:rFonts w:cs="Tahoma"/>
          <w:szCs w:val="24"/>
        </w:rPr>
        <w:t xml:space="preserve">Applications proposing multiple, geographically distinct sites must ensure that the CEQA Compliance Form addresses each site. </w:t>
      </w:r>
    </w:p>
    <w:p w14:paraId="637B6489" w14:textId="77777777" w:rsidR="00674AE1" w:rsidRPr="00E7221B" w:rsidRDefault="00674AE1" w:rsidP="00674AE1">
      <w:pPr>
        <w:keepLines/>
        <w:rPr>
          <w:rFonts w:cs="Tahoma"/>
          <w:szCs w:val="24"/>
        </w:rPr>
      </w:pPr>
      <w:r w:rsidRPr="00E7221B">
        <w:rPr>
          <w:rFonts w:cs="Tahoma"/>
          <w:szCs w:val="24"/>
        </w:rPr>
        <w:t>Failure to complete the CEQA process or secure required permits or approvals for local authorities in a timely manner after the CEC’s Notice of Proposed Award may, in the CEC’s sole discretion and without limiting any of the CEC’s other rights and remedies, result in the cancellation of a proposed award and allocation of funding elsewhere, such as to the next highest-scoring project.</w:t>
      </w:r>
    </w:p>
    <w:p w14:paraId="0FCCB6F6" w14:textId="51E6AD83" w:rsidR="00674AE1" w:rsidRPr="000D384E" w:rsidRDefault="008E2CAF">
      <w:pPr>
        <w:pStyle w:val="Heading4"/>
        <w:numPr>
          <w:ilvl w:val="0"/>
          <w:numId w:val="74"/>
        </w:numPr>
        <w:ind w:left="360"/>
      </w:pPr>
      <w:bookmarkStart w:id="185" w:name="_Toc243558550"/>
      <w:r>
        <w:t xml:space="preserve">Current and </w:t>
      </w:r>
      <w:r w:rsidR="00674AE1">
        <w:t>Past Products Information</w:t>
      </w:r>
      <w:r w:rsidR="00674AE1" w:rsidRPr="000D384E">
        <w:t xml:space="preserve"> Form (Attachment </w:t>
      </w:r>
      <w:r w:rsidR="00674AE1">
        <w:t>08</w:t>
      </w:r>
      <w:r w:rsidR="00674AE1" w:rsidRPr="000D384E">
        <w:t>)</w:t>
      </w:r>
      <w:bookmarkEnd w:id="185"/>
    </w:p>
    <w:p w14:paraId="3B93B104" w14:textId="6D4FF71B" w:rsidR="00674AE1" w:rsidRPr="004F15B4" w:rsidRDefault="00674AE1" w:rsidP="00674AE1">
      <w:pPr>
        <w:rPr>
          <w:b/>
        </w:rPr>
      </w:pPr>
      <w:r w:rsidRPr="000D384E">
        <w:t xml:space="preserve">The </w:t>
      </w:r>
      <w:r w:rsidR="008E2CAF">
        <w:t>Current and</w:t>
      </w:r>
      <w:r w:rsidRPr="000D384E">
        <w:t xml:space="preserve"> </w:t>
      </w:r>
      <w:r>
        <w:t>Past Products Information</w:t>
      </w:r>
      <w:r w:rsidRPr="000D384E">
        <w:t xml:space="preserve"> Form asks for information about the Applicant and its major subrecipients’ past agreements with the CEC and other entities. </w:t>
      </w:r>
      <w:r w:rsidRPr="00CB3E64">
        <w:rPr>
          <w:b/>
          <w:bCs/>
        </w:rPr>
        <w:t>Any experience of either the prime applicant or its subrecipients working with the CEC or other entity as a prime applicant or subrecipient, should be detailed in the Past Products Information Form.</w:t>
      </w:r>
      <w:r>
        <w:t xml:space="preserve"> </w:t>
      </w:r>
      <w:r w:rsidRPr="00F32D89">
        <w:rPr>
          <w:rFonts w:cs="Tahoma"/>
          <w:szCs w:val="24"/>
        </w:rPr>
        <w:t>This must include all CEC agreements (contract</w:t>
      </w:r>
      <w:r>
        <w:rPr>
          <w:rFonts w:cs="Tahoma"/>
          <w:szCs w:val="24"/>
        </w:rPr>
        <w:t>s</w:t>
      </w:r>
      <w:r w:rsidRPr="00F32D89">
        <w:rPr>
          <w:rFonts w:cs="Tahoma"/>
          <w:szCs w:val="24"/>
        </w:rPr>
        <w:t>, grant</w:t>
      </w:r>
      <w:r>
        <w:rPr>
          <w:rFonts w:cs="Tahoma"/>
          <w:szCs w:val="24"/>
        </w:rPr>
        <w:t>s</w:t>
      </w:r>
      <w:r w:rsidRPr="00F32D89">
        <w:rPr>
          <w:rFonts w:cs="Tahoma"/>
          <w:szCs w:val="24"/>
        </w:rPr>
        <w:t>, or loan</w:t>
      </w:r>
      <w:r>
        <w:rPr>
          <w:rFonts w:cs="Tahoma"/>
          <w:szCs w:val="24"/>
        </w:rPr>
        <w:t>s</w:t>
      </w:r>
      <w:r w:rsidRPr="00F32D89">
        <w:rPr>
          <w:rFonts w:cs="Tahoma"/>
          <w:szCs w:val="24"/>
        </w:rPr>
        <w:t xml:space="preserve">) within the past </w:t>
      </w:r>
      <w:r>
        <w:rPr>
          <w:rFonts w:cs="Tahoma"/>
          <w:szCs w:val="24"/>
        </w:rPr>
        <w:t>five (5)</w:t>
      </w:r>
      <w:r w:rsidRPr="00F32D89">
        <w:rPr>
          <w:rFonts w:cs="Tahoma"/>
          <w:szCs w:val="24"/>
        </w:rPr>
        <w:t xml:space="preserve"> years (if any)</w:t>
      </w:r>
      <w:r>
        <w:rPr>
          <w:rFonts w:cs="Tahoma"/>
          <w:szCs w:val="24"/>
        </w:rPr>
        <w:t xml:space="preserve">. </w:t>
      </w:r>
    </w:p>
    <w:p w14:paraId="2BFAC264" w14:textId="77777777" w:rsidR="00674AE1" w:rsidRPr="000D384E" w:rsidRDefault="00674AE1" w:rsidP="00674AE1">
      <w:r>
        <w:t>Applicants are encouraged to treat this form as part of demonstrating their track record, technical merit, and qualifications.</w:t>
      </w:r>
    </w:p>
    <w:p w14:paraId="4E004B4C" w14:textId="77777777" w:rsidR="00674AE1" w:rsidRPr="007065BB" w:rsidRDefault="00674AE1">
      <w:pPr>
        <w:pStyle w:val="Heading4"/>
        <w:numPr>
          <w:ilvl w:val="0"/>
          <w:numId w:val="74"/>
        </w:numPr>
        <w:ind w:left="360"/>
      </w:pPr>
      <w:bookmarkStart w:id="186" w:name="CommLttr"/>
      <w:bookmarkStart w:id="187" w:name="_Toc243558551"/>
      <w:r w:rsidRPr="007065BB">
        <w:t>Commitment and Su</w:t>
      </w:r>
      <w:r>
        <w:t>pport Letter Form (Attachment 09</w:t>
      </w:r>
      <w:r w:rsidRPr="007065BB">
        <w:t>)</w:t>
      </w:r>
      <w:bookmarkEnd w:id="186"/>
      <w:bookmarkEnd w:id="187"/>
    </w:p>
    <w:p w14:paraId="7C557BB2" w14:textId="77777777" w:rsidR="00674AE1" w:rsidRDefault="00674AE1" w:rsidP="00674AE1">
      <w:r>
        <w:t xml:space="preserve">A </w:t>
      </w:r>
      <w:r w:rsidRPr="004F15B4">
        <w:rPr>
          <w:b/>
        </w:rPr>
        <w:t>commitment letter</w:t>
      </w:r>
      <w:r>
        <w:t xml:space="preserve"> commits an entity or individual to providing the service or funding described in the letter. A </w:t>
      </w:r>
      <w:r w:rsidRPr="004F15B4">
        <w:rPr>
          <w:b/>
        </w:rPr>
        <w:t>support letter</w:t>
      </w:r>
      <w:r>
        <w:t xml:space="preserve"> details an entity or individual’s support for the project. </w:t>
      </w:r>
    </w:p>
    <w:p w14:paraId="76775ABD" w14:textId="7382AD48" w:rsidR="00674AE1" w:rsidRDefault="00674AE1" w:rsidP="00674AE1">
      <w:pPr>
        <w:rPr>
          <w:rFonts w:cs="Tahoma"/>
          <w:szCs w:val="24"/>
        </w:rPr>
      </w:pPr>
      <w:r w:rsidRPr="006D6C6D">
        <w:rPr>
          <w:rFonts w:cs="Tahoma"/>
          <w:szCs w:val="24"/>
        </w:rPr>
        <w:t xml:space="preserve">Letters must include sufficient contact information, so CEC is able to contact the letter writer. Letters </w:t>
      </w:r>
      <w:r>
        <w:rPr>
          <w:rFonts w:cs="Tahoma"/>
          <w:szCs w:val="24"/>
        </w:rPr>
        <w:t>are</w:t>
      </w:r>
      <w:r w:rsidRPr="006D6C6D">
        <w:rPr>
          <w:rFonts w:cs="Tahoma"/>
          <w:szCs w:val="24"/>
        </w:rPr>
        <w:t xml:space="preserve"> limited to 2 pages </w:t>
      </w:r>
      <w:proofErr w:type="spellStart"/>
      <w:r w:rsidRPr="006D6C6D">
        <w:rPr>
          <w:rFonts w:cs="Tahoma"/>
          <w:szCs w:val="24"/>
        </w:rPr>
        <w:t>ea</w:t>
      </w:r>
      <w:r w:rsidR="009E551D">
        <w:rPr>
          <w:rFonts w:cs="Tahoma"/>
          <w:szCs w:val="24"/>
        </w:rPr>
        <w:t>S</w:t>
      </w:r>
      <w:r w:rsidRPr="006D6C6D">
        <w:rPr>
          <w:rFonts w:cs="Tahoma"/>
          <w:szCs w:val="24"/>
        </w:rPr>
        <w:t>ch</w:t>
      </w:r>
      <w:proofErr w:type="spellEnd"/>
      <w:r>
        <w:rPr>
          <w:rFonts w:cs="Tahoma"/>
          <w:szCs w:val="24"/>
        </w:rPr>
        <w:t xml:space="preserve">. </w:t>
      </w:r>
    </w:p>
    <w:p w14:paraId="5BE10742" w14:textId="77777777" w:rsidR="00674AE1" w:rsidRDefault="00674AE1" w:rsidP="00674AE1">
      <w:r w:rsidRPr="004B221F">
        <w:t xml:space="preserve">Commitment and Support Letters must be submitted with the application. Letters that are not submitted </w:t>
      </w:r>
      <w:r>
        <w:t xml:space="preserve">by the application deadline </w:t>
      </w:r>
      <w:r w:rsidRPr="004B221F">
        <w:t>will not be reviewed and counted towards meeting the requirement specified in the solicitation</w:t>
      </w:r>
      <w:r>
        <w:t>.</w:t>
      </w:r>
    </w:p>
    <w:p w14:paraId="62E05FE4" w14:textId="77777777" w:rsidR="00674AE1" w:rsidRPr="00C3738F" w:rsidRDefault="00674AE1" w:rsidP="00674AE1">
      <w:pPr>
        <w:pStyle w:val="ListParagraph"/>
        <w:numPr>
          <w:ilvl w:val="0"/>
          <w:numId w:val="48"/>
        </w:numPr>
        <w:contextualSpacing w:val="0"/>
        <w:rPr>
          <w:b/>
        </w:rPr>
      </w:pPr>
      <w:r w:rsidRPr="00992EBB">
        <w:t>Commitment Letters</w:t>
      </w:r>
      <w:r>
        <w:t xml:space="preserve"> </w:t>
      </w:r>
    </w:p>
    <w:p w14:paraId="54CBA3C4" w14:textId="77777777" w:rsidR="00674AE1" w:rsidRDefault="00674AE1" w:rsidP="00674AE1">
      <w:pPr>
        <w:ind w:left="720"/>
      </w:pPr>
      <w:r>
        <w:t xml:space="preserve">Applicants must submit a </w:t>
      </w:r>
      <w:r w:rsidRPr="00A60659">
        <w:t>match funding</w:t>
      </w:r>
      <w:r w:rsidRPr="00864001">
        <w:t xml:space="preserve"> commitment</w:t>
      </w:r>
      <w:r>
        <w:t xml:space="preserve"> letter from each entity that is committing to providing match funding (including the Applicant and/or a third-party). </w:t>
      </w:r>
    </w:p>
    <w:p w14:paraId="23566C4C" w14:textId="77777777" w:rsidR="00674AE1" w:rsidRPr="004F15B4" w:rsidRDefault="00674AE1" w:rsidP="00674AE1">
      <w:pPr>
        <w:ind w:left="720"/>
      </w:pPr>
      <w:r>
        <w:t>Match funding: Each commitment letter must be signed by an authorized representative of the entity or by the individual that is making the match funding commitment. A commitment letter must include: (1) the intended amount of match that will be committed to the project; (2) the source(s) of the funds; (3) an unqualified (i.e. without reservation or limitation) commitment that guarantees the availability of the funds for the project; and (4) a strategy for replacing or operating without the funds if they are significantly reduced or lost.</w:t>
      </w:r>
    </w:p>
    <w:p w14:paraId="45856E22" w14:textId="77777777" w:rsidR="00674AE1" w:rsidRDefault="00674AE1" w:rsidP="00674AE1">
      <w:pPr>
        <w:ind w:left="720"/>
      </w:pPr>
      <w:r w:rsidRPr="004F15B4">
        <w:lastRenderedPageBreak/>
        <w:t>Match service/non-funding:</w:t>
      </w:r>
      <w:r>
        <w:rPr>
          <w:b/>
          <w:bCs/>
        </w:rPr>
        <w:t xml:space="preserve"> </w:t>
      </w:r>
      <w:r>
        <w:t>The letter</w:t>
      </w:r>
      <w:r w:rsidRPr="0075281F">
        <w:t xml:space="preserve"> </w:t>
      </w:r>
      <w:r>
        <w:t>must be</w:t>
      </w:r>
      <w:r w:rsidRPr="0075281F">
        <w:t xml:space="preserve"> signed by an authorized representative that: (1) identifies how the partner will contribute to the project; and (2) </w:t>
      </w:r>
      <w:r>
        <w:t xml:space="preserve">unconditionally </w:t>
      </w:r>
      <w:r w:rsidRPr="0075281F">
        <w:t>commits to making the contribution</w:t>
      </w:r>
      <w:r>
        <w:t xml:space="preserve"> if Recipient is awarded a CEC grant</w:t>
      </w:r>
      <w:r w:rsidRPr="0075281F">
        <w:t xml:space="preserve">. </w:t>
      </w:r>
    </w:p>
    <w:p w14:paraId="644916FB" w14:textId="325BE64C" w:rsidR="00EF39D1" w:rsidRPr="00600177" w:rsidRDefault="00837849" w:rsidP="00674AE1">
      <w:pPr>
        <w:ind w:left="720"/>
        <w:rPr>
          <w:b/>
        </w:rPr>
      </w:pPr>
      <w:r>
        <w:t>Applicants must submit a commitment letter</w:t>
      </w:r>
      <w:r w:rsidR="00EF39D1">
        <w:t xml:space="preserve"> </w:t>
      </w:r>
      <w:r>
        <w:t>i</w:t>
      </w:r>
      <w:r w:rsidR="00EF39D1">
        <w:t xml:space="preserve">f a project partner is providing the </w:t>
      </w:r>
      <w:r w:rsidR="001A2563">
        <w:t xml:space="preserve">deployment </w:t>
      </w:r>
      <w:r w:rsidR="00EF39D1">
        <w:t>sit</w:t>
      </w:r>
      <w:r w:rsidR="00601AE8">
        <w:t>e</w:t>
      </w:r>
      <w:r w:rsidR="00B321C4">
        <w:t>. The commitment letter must</w:t>
      </w:r>
      <w:r w:rsidR="00CA2008">
        <w:t xml:space="preserve"> identi</w:t>
      </w:r>
      <w:r w:rsidR="00B321C4">
        <w:t>fy</w:t>
      </w:r>
      <w:r w:rsidR="00CA2008">
        <w:t xml:space="preserve"> the site location and unconditionally commit to providing the site for the proposed activities</w:t>
      </w:r>
      <w:r w:rsidR="001A2563">
        <w:t>.</w:t>
      </w:r>
    </w:p>
    <w:p w14:paraId="2ADEF5FB" w14:textId="77777777" w:rsidR="00674AE1" w:rsidRPr="00EB1976" w:rsidRDefault="00674AE1" w:rsidP="00674AE1">
      <w:pPr>
        <w:pStyle w:val="ListParagraph"/>
        <w:numPr>
          <w:ilvl w:val="0"/>
          <w:numId w:val="47"/>
        </w:numPr>
        <w:contextualSpacing w:val="0"/>
        <w:rPr>
          <w:b/>
        </w:rPr>
      </w:pPr>
      <w:r w:rsidRPr="00992EBB">
        <w:t>Support Letters</w:t>
      </w:r>
    </w:p>
    <w:p w14:paraId="468F59AD" w14:textId="77777777" w:rsidR="00674AE1" w:rsidRPr="00B152AA" w:rsidRDefault="00674AE1" w:rsidP="00674AE1">
      <w:pPr>
        <w:ind w:left="720"/>
      </w:pPr>
      <w:r>
        <w:t xml:space="preserve">All Applicants must include at least one support letter from an entity or individual that will benefit from or be involved in the project that: (1) describes the party’s interest or involvement in the project; (2) indicates the extent to which the project has the support of the relevant industry and/or organizations; and (3) </w:t>
      </w:r>
      <w:r w:rsidRPr="00A6230B">
        <w:t xml:space="preserve">describes </w:t>
      </w:r>
      <w:r>
        <w:t>any support it intends (but does not necessarily commit) to provide for the project.</w:t>
      </w:r>
    </w:p>
    <w:p w14:paraId="0470243C" w14:textId="77777777" w:rsidR="00674AE1" w:rsidRPr="00943E11" w:rsidRDefault="00674AE1">
      <w:pPr>
        <w:pStyle w:val="Heading4"/>
        <w:numPr>
          <w:ilvl w:val="0"/>
          <w:numId w:val="74"/>
        </w:numPr>
        <w:ind w:left="360"/>
      </w:pPr>
      <w:bookmarkStart w:id="188" w:name="_Toc243558552"/>
      <w:r>
        <w:t>Measurement &amp; Verification Plan (Attachment 10</w:t>
      </w:r>
      <w:r w:rsidRPr="007065BB">
        <w:t>)</w:t>
      </w:r>
      <w:bookmarkEnd w:id="188"/>
    </w:p>
    <w:p w14:paraId="6317E443" w14:textId="26B03105" w:rsidR="00F3336A" w:rsidRDefault="00F3336A" w:rsidP="00F3336A">
      <w:pPr>
        <w:spacing w:after="240"/>
      </w:pPr>
      <w:r w:rsidRPr="00F3336A">
        <w:t xml:space="preserve">The M&amp;V Plan should describe the types of data and data analyses, along with </w:t>
      </w:r>
      <w:r>
        <w:t xml:space="preserve">the </w:t>
      </w:r>
      <w:r w:rsidRPr="00F3336A">
        <w:t>methodology for data collection, necessary for</w:t>
      </w:r>
      <w:r>
        <w:t xml:space="preserve"> reporting on the project’s </w:t>
      </w:r>
      <w:r w:rsidRPr="00F3336A">
        <w:t>performance and benefits</w:t>
      </w:r>
      <w:r>
        <w:t>. The results will be required to be reported in Monthly Status Updates, Quarterly Progress Reports, the</w:t>
      </w:r>
      <w:r w:rsidRPr="00F3336A">
        <w:t xml:space="preserve"> Annual Measurement and Verification Report after each program season, the Evaluation of Project Benefits, and the Final Report.   </w:t>
      </w:r>
    </w:p>
    <w:p w14:paraId="49F66199" w14:textId="77777777" w:rsidR="00674AE1" w:rsidRPr="007065BB" w:rsidRDefault="00674AE1">
      <w:pPr>
        <w:pStyle w:val="Heading4"/>
        <w:numPr>
          <w:ilvl w:val="0"/>
          <w:numId w:val="74"/>
        </w:numPr>
        <w:ind w:left="360"/>
      </w:pPr>
      <w:bookmarkStart w:id="189" w:name="_Toc243558553"/>
      <w:r>
        <w:t>Applicant Declaration (Attachment 11</w:t>
      </w:r>
      <w:r w:rsidRPr="007065BB">
        <w:t>)</w:t>
      </w:r>
      <w:bookmarkEnd w:id="189"/>
    </w:p>
    <w:p w14:paraId="0C0AFD28" w14:textId="77777777" w:rsidR="00674AE1" w:rsidRDefault="00674AE1" w:rsidP="00674AE1">
      <w:pPr>
        <w:rPr>
          <w:b/>
        </w:rPr>
      </w:pPr>
      <w:r w:rsidRPr="005450F0">
        <w:t xml:space="preserve">This form requests the </w:t>
      </w:r>
      <w:r w:rsidRPr="005450F0">
        <w:rPr>
          <w:b/>
        </w:rPr>
        <w:t xml:space="preserve">Applicant make certain declarations under penalty of perjury. This form must be signed by an </w:t>
      </w:r>
      <w:r>
        <w:rPr>
          <w:b/>
        </w:rPr>
        <w:t>A</w:t>
      </w:r>
      <w:r w:rsidRPr="005450F0">
        <w:rPr>
          <w:b/>
        </w:rPr>
        <w:t xml:space="preserve">uthorized </w:t>
      </w:r>
      <w:r>
        <w:rPr>
          <w:b/>
        </w:rPr>
        <w:t>R</w:t>
      </w:r>
      <w:r w:rsidRPr="005450F0">
        <w:rPr>
          <w:b/>
        </w:rPr>
        <w:t>epresentative of the Applicant’s organization.</w:t>
      </w:r>
    </w:p>
    <w:p w14:paraId="1C9EA174" w14:textId="77777777" w:rsidR="00674AE1" w:rsidRPr="00E10342" w:rsidRDefault="00674AE1">
      <w:pPr>
        <w:pStyle w:val="Heading4"/>
        <w:numPr>
          <w:ilvl w:val="0"/>
          <w:numId w:val="74"/>
        </w:numPr>
        <w:ind w:left="360"/>
      </w:pPr>
      <w:bookmarkStart w:id="190" w:name="_Toc243558554"/>
      <w:r w:rsidRPr="00E10342">
        <w:t>Project Readiness Checklist (Attachment 12)</w:t>
      </w:r>
      <w:bookmarkEnd w:id="190"/>
    </w:p>
    <w:p w14:paraId="0CA4A248" w14:textId="406B385F" w:rsidR="00674AE1" w:rsidRDefault="00674AE1" w:rsidP="00674AE1">
      <w:pPr>
        <w:rPr>
          <w:rFonts w:cs="Tahoma"/>
          <w:lang w:eastAsia="ja-JP"/>
        </w:rPr>
      </w:pPr>
      <w:r w:rsidRPr="0051157D">
        <w:rPr>
          <w:rFonts w:cs="Tahoma"/>
          <w:lang w:eastAsia="ja-JP"/>
        </w:rPr>
        <w:t>Applicants must complete and submit a Project Readiness Checklist for each proposed project site. The documentation should demonstrate site readiness as it pertains to CEQA,</w:t>
      </w:r>
      <w:r>
        <w:rPr>
          <w:rFonts w:cs="Tahoma"/>
          <w:lang w:eastAsia="ja-JP"/>
        </w:rPr>
        <w:t xml:space="preserve"> fire safety </w:t>
      </w:r>
      <w:r w:rsidRPr="0051157D">
        <w:rPr>
          <w:rFonts w:cs="Tahoma"/>
          <w:lang w:eastAsia="ja-JP"/>
        </w:rPr>
        <w:t>permitting</w:t>
      </w:r>
      <w:r>
        <w:rPr>
          <w:rFonts w:cs="Tahoma"/>
          <w:lang w:eastAsia="ja-JP"/>
        </w:rPr>
        <w:t>,</w:t>
      </w:r>
      <w:r w:rsidRPr="0051157D">
        <w:rPr>
          <w:rFonts w:cs="Tahoma"/>
          <w:lang w:eastAsia="ja-JP"/>
        </w:rPr>
        <w:t xml:space="preserve"> </w:t>
      </w:r>
      <w:r>
        <w:rPr>
          <w:rFonts w:cs="Tahoma"/>
          <w:lang w:eastAsia="ja-JP"/>
        </w:rPr>
        <w:t>interconnection status</w:t>
      </w:r>
      <w:r w:rsidRPr="0051157D">
        <w:rPr>
          <w:rFonts w:cs="Tahoma"/>
          <w:lang w:eastAsia="ja-JP"/>
        </w:rPr>
        <w:t>,</w:t>
      </w:r>
      <w:r>
        <w:rPr>
          <w:rFonts w:cs="Tahoma"/>
          <w:lang w:eastAsia="ja-JP"/>
        </w:rPr>
        <w:t xml:space="preserve"> and site control</w:t>
      </w:r>
      <w:r w:rsidR="000662A5">
        <w:rPr>
          <w:rFonts w:cs="Tahoma"/>
          <w:lang w:eastAsia="ja-JP"/>
        </w:rPr>
        <w:t>, as applicable</w:t>
      </w:r>
      <w:r w:rsidRPr="0051157D">
        <w:rPr>
          <w:rFonts w:cs="Tahoma"/>
          <w:lang w:eastAsia="ja-JP"/>
        </w:rPr>
        <w:t>. The documentation should align with the scope and location of the project. Incomplete or missing materials may result in reduced scoring during evaluation.</w:t>
      </w:r>
    </w:p>
    <w:p w14:paraId="62A58D6C" w14:textId="2829B94F" w:rsidR="38E14FAF" w:rsidRDefault="00127B79" w:rsidP="009B057D">
      <w:pPr>
        <w:pStyle w:val="Heading4"/>
        <w:numPr>
          <w:ilvl w:val="0"/>
          <w:numId w:val="74"/>
        </w:numPr>
        <w:ind w:hanging="720"/>
      </w:pPr>
      <w:bookmarkStart w:id="191" w:name="_Toc243558555"/>
      <w:r w:rsidRPr="00130379">
        <w:t xml:space="preserve">Confidential </w:t>
      </w:r>
      <w:r w:rsidR="00F35594">
        <w:t>Recipient Information and</w:t>
      </w:r>
      <w:r w:rsidRPr="00130379">
        <w:t xml:space="preserve"> Pre-Existing Intellectual Property</w:t>
      </w:r>
      <w:r>
        <w:t xml:space="preserve"> (Attachment 13)</w:t>
      </w:r>
      <w:bookmarkEnd w:id="191"/>
    </w:p>
    <w:p w14:paraId="7E8B9367" w14:textId="48957D9E" w:rsidR="00E83F6D" w:rsidRPr="00E83F6D" w:rsidRDefault="008C7B34" w:rsidP="00E83F6D">
      <w:r>
        <w:t>This</w:t>
      </w:r>
      <w:r w:rsidR="008A6FC9">
        <w:t xml:space="preserve"> form</w:t>
      </w:r>
      <w:r>
        <w:t xml:space="preserve"> lists</w:t>
      </w:r>
      <w:r w:rsidR="69B21EC2">
        <w:t xml:space="preserve"> the data</w:t>
      </w:r>
      <w:r w:rsidDel="008C7B34">
        <w:t xml:space="preserve"> </w:t>
      </w:r>
      <w:r>
        <w:t>the CEC designates as confidential and asks for information about the Applicant’s pre-existing intellectual property.</w:t>
      </w:r>
    </w:p>
    <w:p w14:paraId="5D8F3D76" w14:textId="73B54062" w:rsidR="00144C06" w:rsidRDefault="00144C06" w:rsidP="00144C06">
      <w:pPr>
        <w:pStyle w:val="Heading4"/>
        <w:numPr>
          <w:ilvl w:val="0"/>
          <w:numId w:val="74"/>
        </w:numPr>
        <w:ind w:left="360"/>
      </w:pPr>
      <w:bookmarkStart w:id="192" w:name="_Toc243558556"/>
      <w:r>
        <w:t xml:space="preserve">For review: </w:t>
      </w:r>
      <w:r w:rsidRPr="00663C2F">
        <w:t>Terms and Conditions (Attachment 1</w:t>
      </w:r>
      <w:r w:rsidR="00127B79">
        <w:t>4</w:t>
      </w:r>
      <w:r w:rsidRPr="00663C2F">
        <w:t>)</w:t>
      </w:r>
      <w:bookmarkEnd w:id="192"/>
    </w:p>
    <w:p w14:paraId="5B35BCF2" w14:textId="11AF8817" w:rsidR="00144C06" w:rsidRPr="00241601" w:rsidRDefault="00144C06" w:rsidP="00144C06">
      <w:pPr>
        <w:rPr>
          <w:rFonts w:cs="Tahoma"/>
        </w:rPr>
      </w:pPr>
      <w:r>
        <w:rPr>
          <w:rFonts w:cs="Tahoma"/>
        </w:rPr>
        <w:t>Applicants</w:t>
      </w:r>
      <w:r w:rsidRPr="00241601">
        <w:rPr>
          <w:rFonts w:cs="Tahoma"/>
        </w:rPr>
        <w:t xml:space="preserve"> are required to review the Terms and Conditions of this solicitation but are not required to submit any forms related to this Attachment as part of their application. </w:t>
      </w:r>
      <w:r w:rsidRPr="00241601">
        <w:rPr>
          <w:rFonts w:cs="Tahoma"/>
        </w:rPr>
        <w:lastRenderedPageBreak/>
        <w:t>By signing the final grant agreement, Applicants agree to adhere to these Terms and Conditions. The terms and conditions included in this Solicitation are subject to change.</w:t>
      </w:r>
    </w:p>
    <w:p w14:paraId="379E6B07" w14:textId="0EC4FB5F" w:rsidR="00144C06" w:rsidRDefault="00144C06" w:rsidP="00144C06">
      <w:pPr>
        <w:pStyle w:val="Heading4"/>
        <w:numPr>
          <w:ilvl w:val="0"/>
          <w:numId w:val="74"/>
        </w:numPr>
        <w:ind w:left="360"/>
        <w:rPr>
          <w:rFonts w:cs="Tahoma"/>
          <w:lang w:eastAsia="ja-JP"/>
        </w:rPr>
      </w:pPr>
      <w:bookmarkStart w:id="193" w:name="_Toc243558557"/>
      <w:r>
        <w:rPr>
          <w:rFonts w:cs="Tahoma"/>
          <w:lang w:eastAsia="ja-JP"/>
        </w:rPr>
        <w:t>For review: Special Terms and Conditions (Attachment 1</w:t>
      </w:r>
      <w:r w:rsidR="00127B79">
        <w:rPr>
          <w:rFonts w:cs="Tahoma"/>
          <w:lang w:eastAsia="ja-JP"/>
        </w:rPr>
        <w:t>5</w:t>
      </w:r>
      <w:r>
        <w:rPr>
          <w:rFonts w:cs="Tahoma"/>
          <w:lang w:eastAsia="ja-JP"/>
        </w:rPr>
        <w:t>)</w:t>
      </w:r>
      <w:bookmarkEnd w:id="193"/>
    </w:p>
    <w:p w14:paraId="58FAC41C" w14:textId="77777777" w:rsidR="003C1329" w:rsidRPr="00433704" w:rsidRDefault="003C1329" w:rsidP="003C1329">
      <w:pPr>
        <w:pStyle w:val="ListParagraph"/>
        <w:numPr>
          <w:ilvl w:val="2"/>
          <w:numId w:val="95"/>
        </w:numPr>
        <w:rPr>
          <w:rFonts w:cs="Tahoma"/>
          <w:szCs w:val="24"/>
        </w:rPr>
      </w:pPr>
      <w:r w:rsidRPr="00433704">
        <w:rPr>
          <w:rFonts w:cs="Tahoma"/>
          <w:szCs w:val="24"/>
        </w:rPr>
        <w:t>Insolvency, Bankruptcy or Receivership</w:t>
      </w:r>
    </w:p>
    <w:p w14:paraId="537CC096" w14:textId="77777777" w:rsidR="00144C06" w:rsidRPr="00433704" w:rsidRDefault="00144C06" w:rsidP="00144C06">
      <w:pPr>
        <w:pStyle w:val="ListParagraph"/>
        <w:numPr>
          <w:ilvl w:val="2"/>
          <w:numId w:val="95"/>
        </w:numPr>
        <w:rPr>
          <w:rFonts w:cs="Tahoma"/>
          <w:szCs w:val="24"/>
        </w:rPr>
      </w:pPr>
      <w:r w:rsidRPr="00433704">
        <w:rPr>
          <w:rFonts w:cs="Tahoma"/>
          <w:szCs w:val="24"/>
        </w:rPr>
        <w:t>DEBA Program</w:t>
      </w:r>
    </w:p>
    <w:p w14:paraId="1D0867D2" w14:textId="77777777" w:rsidR="00144C06" w:rsidRPr="00433704" w:rsidRDefault="00144C06" w:rsidP="00144C06">
      <w:pPr>
        <w:pStyle w:val="ListParagraph"/>
        <w:numPr>
          <w:ilvl w:val="2"/>
          <w:numId w:val="95"/>
        </w:numPr>
        <w:rPr>
          <w:rFonts w:cs="Tahoma"/>
          <w:szCs w:val="24"/>
        </w:rPr>
      </w:pPr>
      <w:r w:rsidRPr="00433704">
        <w:rPr>
          <w:rFonts w:cs="Tahoma"/>
          <w:szCs w:val="24"/>
        </w:rPr>
        <w:t>Data Sharing Agreement</w:t>
      </w:r>
    </w:p>
    <w:p w14:paraId="6683999C" w14:textId="77777777" w:rsidR="00144C06" w:rsidRPr="00433704" w:rsidRDefault="00144C06" w:rsidP="00144C06">
      <w:pPr>
        <w:pStyle w:val="ListParagraph"/>
        <w:numPr>
          <w:ilvl w:val="2"/>
          <w:numId w:val="95"/>
        </w:numPr>
        <w:rPr>
          <w:lang w:eastAsia="ja-JP"/>
        </w:rPr>
      </w:pPr>
      <w:r w:rsidRPr="00433704">
        <w:rPr>
          <w:rFonts w:cs="Tahoma"/>
          <w:szCs w:val="24"/>
        </w:rPr>
        <w:t>California Native American Tribes and Tribal Organizations with Sovereign Immunity</w:t>
      </w:r>
    </w:p>
    <w:p w14:paraId="78B4CF9F" w14:textId="477179AC" w:rsidR="00CA5EF9" w:rsidRPr="00144C06" w:rsidRDefault="00144C06" w:rsidP="00494021">
      <w:pPr>
        <w:spacing w:after="8000"/>
        <w:rPr>
          <w:rFonts w:cs="Tahoma"/>
        </w:rPr>
      </w:pPr>
      <w:r w:rsidRPr="002150F8">
        <w:rPr>
          <w:rFonts w:cs="Tahoma"/>
        </w:rPr>
        <w:t>Applicants are required to review the Special Terms of this solicitation but are not required to submit any forms related to this Attachment as part of their application. By signing the final grant agreement, Applicants agree to adhere to these Special Terms. The terms and conditions included in this Solicitation are subject to change</w:t>
      </w:r>
      <w:r>
        <w:rPr>
          <w:rFonts w:cs="Tahoma"/>
        </w:rPr>
        <w:t>.</w:t>
      </w:r>
    </w:p>
    <w:p w14:paraId="22F24E0B" w14:textId="049F5E8C" w:rsidR="00674AE1" w:rsidRPr="00B45766" w:rsidRDefault="00674AE1" w:rsidP="00583311"/>
    <w:p w14:paraId="44A8C414" w14:textId="77777777" w:rsidR="00674AE1" w:rsidRPr="00C31C1D" w:rsidRDefault="00674AE1" w:rsidP="00674AE1">
      <w:pPr>
        <w:pStyle w:val="Heading2"/>
      </w:pPr>
      <w:bookmarkStart w:id="194" w:name="_Toc336443635"/>
      <w:bookmarkStart w:id="195" w:name="_Toc366671192"/>
      <w:bookmarkStart w:id="196" w:name="_Toc243558558"/>
      <w:r>
        <w:lastRenderedPageBreak/>
        <w:t xml:space="preserve">IV: </w:t>
      </w:r>
      <w:r w:rsidRPr="00C31C1D">
        <w:t xml:space="preserve">Evaluation </w:t>
      </w:r>
      <w:r>
        <w:t xml:space="preserve">and Award </w:t>
      </w:r>
      <w:r w:rsidRPr="00C31C1D">
        <w:t>Process</w:t>
      </w:r>
      <w:bookmarkEnd w:id="196"/>
      <w:r w:rsidRPr="00C31C1D">
        <w:t xml:space="preserve"> </w:t>
      </w:r>
      <w:bookmarkEnd w:id="154"/>
      <w:bookmarkEnd w:id="194"/>
      <w:bookmarkEnd w:id="195"/>
    </w:p>
    <w:p w14:paraId="19770311" w14:textId="77777777" w:rsidR="00674AE1" w:rsidRDefault="00674AE1">
      <w:pPr>
        <w:pStyle w:val="Heading3"/>
        <w:numPr>
          <w:ilvl w:val="0"/>
          <w:numId w:val="75"/>
        </w:numPr>
        <w:tabs>
          <w:tab w:val="num" w:pos="360"/>
        </w:tabs>
        <w:ind w:left="0"/>
      </w:pPr>
      <w:bookmarkStart w:id="197" w:name="_Toc35074632"/>
      <w:bookmarkStart w:id="198" w:name="_Toc219275099"/>
      <w:bookmarkStart w:id="199" w:name="_Toc336443636"/>
      <w:bookmarkStart w:id="200" w:name="_Toc243558559"/>
      <w:r>
        <w:t>Application Evaluation</w:t>
      </w:r>
      <w:bookmarkEnd w:id="200"/>
    </w:p>
    <w:p w14:paraId="05BD67D0" w14:textId="77777777" w:rsidR="00674AE1" w:rsidRDefault="00674AE1" w:rsidP="00674AE1">
      <w:r w:rsidRPr="00C31C1D">
        <w:t xml:space="preserve">Applications will be evaluated </w:t>
      </w:r>
      <w:r>
        <w:t xml:space="preserve">(screened </w:t>
      </w:r>
      <w:r w:rsidRPr="00C31C1D">
        <w:t>and scored</w:t>
      </w:r>
      <w:r>
        <w:t>)</w:t>
      </w:r>
      <w:r w:rsidRPr="00C31C1D">
        <w:t xml:space="preserve"> based on the information </w:t>
      </w:r>
      <w:r>
        <w:t xml:space="preserve">provided in response to the </w:t>
      </w:r>
      <w:r w:rsidRPr="00C31C1D">
        <w:t>request</w:t>
      </w:r>
      <w:r>
        <w:t>s</w:t>
      </w:r>
      <w:r w:rsidRPr="00C31C1D">
        <w:t xml:space="preserve"> in this solicitation</w:t>
      </w:r>
      <w:r>
        <w:t xml:space="preserve">. </w:t>
      </w:r>
    </w:p>
    <w:p w14:paraId="4E4458B9" w14:textId="77777777" w:rsidR="00674AE1" w:rsidRPr="000D3E8A" w:rsidRDefault="00674AE1" w:rsidP="00674AE1">
      <w:pPr>
        <w:rPr>
          <w:rFonts w:eastAsia="Arial" w:cs="Tahoma"/>
          <w:b/>
          <w:szCs w:val="24"/>
        </w:rPr>
      </w:pPr>
      <w:r w:rsidRPr="7DCC2B60">
        <w:rPr>
          <w:rFonts w:eastAsia="Arial" w:cs="Tahoma"/>
          <w:szCs w:val="24"/>
        </w:rPr>
        <w:t>Th</w:t>
      </w:r>
      <w:r>
        <w:rPr>
          <w:rFonts w:eastAsia="Arial" w:cs="Tahoma"/>
          <w:szCs w:val="24"/>
        </w:rPr>
        <w:t>r</w:t>
      </w:r>
      <w:r w:rsidRPr="7DCC2B60">
        <w:rPr>
          <w:rFonts w:eastAsia="Arial" w:cs="Tahoma"/>
          <w:szCs w:val="24"/>
        </w:rPr>
        <w:t>ough</w:t>
      </w:r>
      <w:r>
        <w:rPr>
          <w:rFonts w:eastAsia="Arial" w:cs="Tahoma"/>
          <w:szCs w:val="24"/>
        </w:rPr>
        <w:t>out</w:t>
      </w:r>
      <w:r w:rsidRPr="7DCC2B60">
        <w:rPr>
          <w:rFonts w:eastAsia="Arial" w:cs="Tahoma"/>
          <w:szCs w:val="24"/>
        </w:rPr>
        <w:t xml:space="preserve"> the evaluation process</w:t>
      </w:r>
      <w:r w:rsidRPr="7DCC2B60" w:rsidDel="00B9442F">
        <w:rPr>
          <w:rFonts w:eastAsia="Arial" w:cs="Tahoma"/>
          <w:szCs w:val="24"/>
        </w:rPr>
        <w:t xml:space="preserve"> </w:t>
      </w:r>
      <w:r>
        <w:rPr>
          <w:rFonts w:eastAsia="Arial" w:cs="Tahoma"/>
          <w:szCs w:val="24"/>
        </w:rPr>
        <w:t xml:space="preserve">- </w:t>
      </w:r>
      <w:r w:rsidRPr="7DCC2B60">
        <w:rPr>
          <w:rFonts w:eastAsia="Arial" w:cs="Tahoma"/>
          <w:szCs w:val="24"/>
        </w:rPr>
        <w:t xml:space="preserve">from receipt of applications up to the posting of the </w:t>
      </w:r>
      <w:r>
        <w:rPr>
          <w:rFonts w:eastAsia="Arial" w:cs="Tahoma"/>
          <w:szCs w:val="24"/>
        </w:rPr>
        <w:t>Notice of Proposed Award (NOPA)</w:t>
      </w:r>
      <w:r w:rsidRPr="7DCC2B60">
        <w:rPr>
          <w:rFonts w:eastAsia="Arial" w:cs="Tahoma"/>
          <w:szCs w:val="24"/>
        </w:rPr>
        <w:t xml:space="preserve"> </w:t>
      </w:r>
      <w:r>
        <w:rPr>
          <w:rFonts w:eastAsia="Arial" w:cs="Tahoma"/>
          <w:szCs w:val="24"/>
        </w:rPr>
        <w:t xml:space="preserve">- all application documents are considered </w:t>
      </w:r>
      <w:r w:rsidRPr="7DCC2B60">
        <w:rPr>
          <w:rFonts w:eastAsia="Arial" w:cs="Tahoma"/>
          <w:szCs w:val="24"/>
        </w:rPr>
        <w:t>confidential</w:t>
      </w:r>
      <w:r>
        <w:rPr>
          <w:rFonts w:eastAsia="Arial" w:cs="Tahoma"/>
          <w:szCs w:val="24"/>
        </w:rPr>
        <w:t>. After the release of the NOPA or the cancellation of this Solicitation</w:t>
      </w:r>
      <w:r w:rsidRPr="7DCC2B60">
        <w:rPr>
          <w:rFonts w:eastAsia="Arial" w:cs="Tahoma"/>
          <w:szCs w:val="24"/>
        </w:rPr>
        <w:t xml:space="preserve">, submitted documents </w:t>
      </w:r>
      <w:r>
        <w:rPr>
          <w:rFonts w:eastAsia="Arial" w:cs="Tahoma"/>
          <w:szCs w:val="24"/>
        </w:rPr>
        <w:t xml:space="preserve">are no longer considered confidential and </w:t>
      </w:r>
      <w:r w:rsidRPr="7DCC2B60">
        <w:rPr>
          <w:rFonts w:eastAsia="Arial" w:cs="Tahoma"/>
          <w:szCs w:val="24"/>
        </w:rPr>
        <w:t>will become publicly available records.</w:t>
      </w:r>
      <w:r w:rsidRPr="7DCC2B60" w:rsidDel="00C31120">
        <w:rPr>
          <w:rFonts w:eastAsia="Arial" w:cs="Tahoma"/>
          <w:szCs w:val="24"/>
        </w:rPr>
        <w:t xml:space="preserve"> </w:t>
      </w:r>
      <w:r w:rsidRPr="000D3E8A">
        <w:rPr>
          <w:rFonts w:eastAsia="Arial" w:cs="Tahoma"/>
          <w:b/>
          <w:szCs w:val="24"/>
        </w:rPr>
        <w:t>The CEC will not accept</w:t>
      </w:r>
      <w:r>
        <w:rPr>
          <w:rFonts w:eastAsia="Arial" w:cs="Tahoma"/>
          <w:b/>
          <w:bCs/>
          <w:szCs w:val="24"/>
        </w:rPr>
        <w:t>, evaluate,</w:t>
      </w:r>
      <w:r w:rsidRPr="000D3E8A">
        <w:rPr>
          <w:rFonts w:eastAsia="Arial" w:cs="Tahoma"/>
          <w:b/>
          <w:szCs w:val="24"/>
        </w:rPr>
        <w:t xml:space="preserve"> or retain applications that identify any portion as confidential.</w:t>
      </w:r>
    </w:p>
    <w:p w14:paraId="2F0C99F5" w14:textId="77777777" w:rsidR="00674AE1" w:rsidRPr="00D871E3" w:rsidRDefault="00674AE1" w:rsidP="00674AE1">
      <w:pPr>
        <w:rPr>
          <w:rFonts w:eastAsia="Arial" w:cs="Tahoma"/>
          <w:bCs/>
          <w:szCs w:val="24"/>
        </w:rPr>
      </w:pPr>
      <w:r>
        <w:rPr>
          <w:rFonts w:eastAsia="Arial" w:cs="Tahoma"/>
          <w:bCs/>
          <w:szCs w:val="24"/>
        </w:rPr>
        <w:t>The evaluation process consists of two phases.</w:t>
      </w:r>
    </w:p>
    <w:p w14:paraId="117B234C" w14:textId="77777777" w:rsidR="00674AE1" w:rsidRPr="00E13674" w:rsidRDefault="00674AE1" w:rsidP="00674AE1">
      <w:pPr>
        <w:pStyle w:val="Heading4"/>
        <w:numPr>
          <w:ilvl w:val="0"/>
          <w:numId w:val="43"/>
        </w:numPr>
      </w:pPr>
      <w:bookmarkStart w:id="201" w:name="_Toc381079932"/>
      <w:bookmarkStart w:id="202" w:name="_Toc382571195"/>
      <w:bookmarkStart w:id="203" w:name="_Toc395180705"/>
      <w:bookmarkStart w:id="204" w:name="_Toc433981334"/>
      <w:bookmarkStart w:id="205" w:name="_Toc360545784"/>
      <w:bookmarkStart w:id="206" w:name="_Toc366671195"/>
      <w:bookmarkStart w:id="207" w:name="_Toc339284339"/>
      <w:bookmarkStart w:id="208" w:name="_Toc243558560"/>
      <w:r>
        <w:t xml:space="preserve">Phase </w:t>
      </w:r>
      <w:r w:rsidRPr="00E13674">
        <w:t>One: Application Screening</w:t>
      </w:r>
      <w:bookmarkEnd w:id="201"/>
      <w:bookmarkEnd w:id="202"/>
      <w:bookmarkEnd w:id="203"/>
      <w:bookmarkEnd w:id="204"/>
      <w:bookmarkEnd w:id="208"/>
      <w:r w:rsidRPr="00E13674">
        <w:t xml:space="preserve"> </w:t>
      </w:r>
      <w:bookmarkEnd w:id="205"/>
      <w:bookmarkEnd w:id="206"/>
    </w:p>
    <w:p w14:paraId="3C05E58A" w14:textId="77777777" w:rsidR="00674AE1" w:rsidRDefault="00674AE1" w:rsidP="00674AE1">
      <w:r w:rsidRPr="00C31C1D">
        <w:t xml:space="preserve">The </w:t>
      </w:r>
      <w:r>
        <w:t xml:space="preserve">CEC Contracts, Grants and Loans Office </w:t>
      </w:r>
      <w:r w:rsidRPr="00C31C1D">
        <w:t xml:space="preserve">will screen </w:t>
      </w:r>
      <w:r>
        <w:t>a</w:t>
      </w:r>
      <w:r w:rsidRPr="00C31C1D">
        <w:t xml:space="preserve">pplications for compliance with </w:t>
      </w:r>
      <w:r>
        <w:t>the</w:t>
      </w:r>
      <w:r w:rsidRPr="00C31C1D">
        <w:t xml:space="preserve"> </w:t>
      </w:r>
      <w:r>
        <w:t>administrative</w:t>
      </w:r>
      <w:r w:rsidRPr="00C31C1D" w:rsidDel="00B07CF2">
        <w:t xml:space="preserve"> </w:t>
      </w:r>
      <w:r>
        <w:t>s</w:t>
      </w:r>
      <w:r w:rsidRPr="00C31C1D">
        <w:t xml:space="preserve">creening </w:t>
      </w:r>
      <w:r>
        <w:t>c</w:t>
      </w:r>
      <w:r w:rsidRPr="00C31C1D">
        <w:t>riteria</w:t>
      </w:r>
      <w:r>
        <w:t xml:space="preserve"> listed in Table 6. The Evaluation Committee will screen applications for compliance with the technical screening criteria listed in Table 7 and past performance screening criteria listed in Table 8. </w:t>
      </w:r>
      <w:r w:rsidRPr="002A724B">
        <w:t xml:space="preserve">Applications that fail any of the screening criteria will be </w:t>
      </w:r>
      <w:r>
        <w:t>disqualified and eliminated from further evaluation</w:t>
      </w:r>
      <w:r w:rsidRPr="002A724B">
        <w:t>.</w:t>
      </w:r>
    </w:p>
    <w:p w14:paraId="4943AB2F" w14:textId="77777777" w:rsidR="00674AE1" w:rsidRPr="00125E7A" w:rsidRDefault="00674AE1" w:rsidP="00674AE1">
      <w:pPr>
        <w:rPr>
          <w:u w:val="single"/>
        </w:rPr>
      </w:pPr>
      <w:r>
        <w:t>The screening process is described further below.</w:t>
      </w:r>
      <w:r>
        <w:rPr>
          <w:b/>
        </w:rPr>
        <w:t xml:space="preserve"> </w:t>
      </w:r>
      <w:bookmarkStart w:id="209" w:name="_Toc339284340"/>
      <w:bookmarkEnd w:id="207"/>
    </w:p>
    <w:p w14:paraId="440B11ED" w14:textId="77777777" w:rsidR="00674AE1" w:rsidRPr="008E38AF" w:rsidRDefault="00674AE1" w:rsidP="005745DE">
      <w:pPr>
        <w:pStyle w:val="Heading4"/>
        <w:numPr>
          <w:ilvl w:val="0"/>
          <w:numId w:val="43"/>
        </w:numPr>
        <w:tabs>
          <w:tab w:val="num" w:pos="360"/>
        </w:tabs>
      </w:pPr>
      <w:bookmarkStart w:id="210" w:name="_Toc381079933"/>
      <w:bookmarkStart w:id="211" w:name="_Toc382571196"/>
      <w:bookmarkStart w:id="212" w:name="_Toc395180706"/>
      <w:bookmarkStart w:id="213" w:name="_Toc433981335"/>
      <w:bookmarkStart w:id="214" w:name="_Toc360545785"/>
      <w:bookmarkStart w:id="215" w:name="_Toc366671198"/>
      <w:bookmarkStart w:id="216" w:name="Stg2AppScr"/>
      <w:bookmarkStart w:id="217" w:name="_Toc243558561"/>
      <w:r>
        <w:t xml:space="preserve">Phase </w:t>
      </w:r>
      <w:r w:rsidRPr="008E38AF">
        <w:t>Two: Application Scoring</w:t>
      </w:r>
      <w:bookmarkEnd w:id="210"/>
      <w:bookmarkEnd w:id="211"/>
      <w:bookmarkEnd w:id="212"/>
      <w:bookmarkEnd w:id="213"/>
      <w:bookmarkEnd w:id="217"/>
      <w:r w:rsidRPr="008E38AF">
        <w:t xml:space="preserve"> </w:t>
      </w:r>
      <w:bookmarkEnd w:id="214"/>
      <w:bookmarkEnd w:id="215"/>
    </w:p>
    <w:bookmarkEnd w:id="216"/>
    <w:p w14:paraId="77BB817E" w14:textId="77777777" w:rsidR="00674AE1" w:rsidRDefault="00674AE1" w:rsidP="00674AE1">
      <w:r w:rsidRPr="003E6D28">
        <w:t>Applications that pass</w:t>
      </w:r>
      <w:r w:rsidRPr="003E6D28" w:rsidDel="002B7638">
        <w:t xml:space="preserve"> </w:t>
      </w:r>
      <w:r>
        <w:t>Phase</w:t>
      </w:r>
      <w:r w:rsidRPr="003E6D28">
        <w:t xml:space="preserve"> One will be submitted to the Evaluation Committee for review and scoring based on the </w:t>
      </w:r>
      <w:r>
        <w:t>information requested in this solicitation</w:t>
      </w:r>
      <w:r w:rsidRPr="003E6D28">
        <w:t xml:space="preserve">. </w:t>
      </w:r>
      <w:r>
        <w:t>T</w:t>
      </w:r>
      <w:r w:rsidRPr="00C31C1D">
        <w:t xml:space="preserve">he </w:t>
      </w:r>
      <w:r>
        <w:t>CEC</w:t>
      </w:r>
      <w:r w:rsidRPr="00C31C1D">
        <w:t xml:space="preserve"> will organize an Evaluation Committee that consist</w:t>
      </w:r>
      <w:r>
        <w:t>s of primarily, or all,</w:t>
      </w:r>
      <w:r w:rsidRPr="00C31C1D">
        <w:t xml:space="preserve"> </w:t>
      </w:r>
      <w:r>
        <w:t>CEC</w:t>
      </w:r>
      <w:r w:rsidRPr="00C31C1D">
        <w:t xml:space="preserve"> staff</w:t>
      </w:r>
      <w:r>
        <w:t>.</w:t>
      </w:r>
      <w:r w:rsidRPr="00C31C1D">
        <w:t xml:space="preserve"> The E</w:t>
      </w:r>
      <w:r>
        <w:t>valuation Committee may us</w:t>
      </w:r>
      <w:r w:rsidRPr="00C31C1D">
        <w:t xml:space="preserve">e </w:t>
      </w:r>
      <w:r>
        <w:t xml:space="preserve">additional </w:t>
      </w:r>
      <w:r w:rsidRPr="00C31C1D">
        <w:t xml:space="preserve">technical expert reviewers to provide an analysis of </w:t>
      </w:r>
      <w:r>
        <w:t xml:space="preserve">the </w:t>
      </w:r>
      <w:r w:rsidRPr="00C31C1D">
        <w:t>applications.</w:t>
      </w:r>
      <w:r>
        <w:t xml:space="preserve"> </w:t>
      </w:r>
    </w:p>
    <w:p w14:paraId="6F63BB27" w14:textId="77777777" w:rsidR="00674AE1" w:rsidRDefault="00674AE1" w:rsidP="00674AE1">
      <w:pPr>
        <w:pStyle w:val="ListParagraph"/>
        <w:numPr>
          <w:ilvl w:val="2"/>
          <w:numId w:val="6"/>
        </w:numPr>
        <w:ind w:left="900"/>
        <w:contextualSpacing w:val="0"/>
      </w:pPr>
      <w:r w:rsidRPr="004B1445">
        <w:t xml:space="preserve">The score for each application will be the average of the combined scores of all Evaluation Committee members. </w:t>
      </w:r>
    </w:p>
    <w:p w14:paraId="600FB516" w14:textId="77777777" w:rsidR="00674AE1" w:rsidRDefault="00674AE1" w:rsidP="00674AE1">
      <w:pPr>
        <w:pStyle w:val="ListParagraph"/>
        <w:numPr>
          <w:ilvl w:val="2"/>
          <w:numId w:val="6"/>
        </w:numPr>
        <w:ind w:left="900"/>
        <w:contextualSpacing w:val="0"/>
      </w:pPr>
      <w:r w:rsidRPr="5C365863">
        <w:t xml:space="preserve">Applicants must score a minimum of 70 percent </w:t>
      </w:r>
      <w:r w:rsidRPr="0085754B">
        <w:rPr>
          <w:b/>
        </w:rPr>
        <w:t>each</w:t>
      </w:r>
      <w:r>
        <w:t xml:space="preserve"> for scoring </w:t>
      </w:r>
      <w:r w:rsidRPr="00104B9D">
        <w:rPr>
          <w:b/>
        </w:rPr>
        <w:t>criterion 1</w:t>
      </w:r>
      <w:r w:rsidRPr="00104B9D">
        <w:rPr>
          <w:b/>
          <w:bCs/>
          <w:iCs/>
        </w:rPr>
        <w:t>, criterion 2,</w:t>
      </w:r>
      <w:r w:rsidRPr="00104B9D">
        <w:rPr>
          <w:b/>
        </w:rPr>
        <w:t xml:space="preserve"> and </w:t>
      </w:r>
      <w:r w:rsidRPr="00104B9D">
        <w:rPr>
          <w:b/>
          <w:bCs/>
          <w:iCs/>
        </w:rPr>
        <w:t>criterion 3</w:t>
      </w:r>
      <w:r>
        <w:rPr>
          <w:i/>
          <w:iCs/>
        </w:rPr>
        <w:t xml:space="preserve">. </w:t>
      </w:r>
      <w:r w:rsidRPr="00104B9D">
        <w:t>Also, applicants must score</w:t>
      </w:r>
      <w:r>
        <w:rPr>
          <w:i/>
        </w:rPr>
        <w:t xml:space="preserve"> </w:t>
      </w:r>
      <w:r>
        <w:t xml:space="preserve">70 percent of the 100 Total Possible Base Points </w:t>
      </w:r>
      <w:r w:rsidRPr="5C365863">
        <w:t>to be eligible for funding.</w:t>
      </w:r>
    </w:p>
    <w:p w14:paraId="55A2F8D0" w14:textId="418AF87B" w:rsidR="00674AE1" w:rsidRDefault="00674AE1" w:rsidP="00674AE1">
      <w:pPr>
        <w:pStyle w:val="ListParagraph"/>
        <w:numPr>
          <w:ilvl w:val="2"/>
          <w:numId w:val="6"/>
        </w:numPr>
        <w:ind w:left="900"/>
        <w:contextualSpacing w:val="0"/>
      </w:pPr>
      <w:r>
        <w:t xml:space="preserve">Applicants may be eligible for Preference Points, or additional points beyond the Total Possible Base Points. There are four Preference Point criteria, totaling up to </w:t>
      </w:r>
      <w:r w:rsidR="00791343">
        <w:t xml:space="preserve">25 </w:t>
      </w:r>
      <w:r>
        <w:t>additional points.</w:t>
      </w:r>
    </w:p>
    <w:p w14:paraId="1B1550E0" w14:textId="4ED9A2EA" w:rsidR="00674AE1" w:rsidRDefault="00674AE1" w:rsidP="00674AE1">
      <w:r>
        <w:t>The scoring process is described further below.</w:t>
      </w:r>
    </w:p>
    <w:p w14:paraId="1BCC566D" w14:textId="7A409B59" w:rsidR="00674AE1" w:rsidRPr="008E38AF" w:rsidRDefault="00674AE1" w:rsidP="005745DE">
      <w:pPr>
        <w:pStyle w:val="Heading3"/>
        <w:ind w:left="0"/>
      </w:pPr>
      <w:bookmarkStart w:id="218" w:name="_Toc177403899"/>
      <w:bookmarkStart w:id="219" w:name="_Toc243558562"/>
      <w:r w:rsidRPr="00CF6DED">
        <w:lastRenderedPageBreak/>
        <w:t xml:space="preserve">Ranking, Notice of Proposed Award, and </w:t>
      </w:r>
      <w:r w:rsidR="00EE1F00">
        <w:t>Agreements</w:t>
      </w:r>
      <w:bookmarkEnd w:id="219"/>
      <w:r w:rsidR="00EE1F00">
        <w:t xml:space="preserve"> </w:t>
      </w:r>
      <w:bookmarkEnd w:id="218"/>
    </w:p>
    <w:p w14:paraId="091C5E28" w14:textId="77777777" w:rsidR="00674AE1" w:rsidRPr="008E38AF" w:rsidRDefault="00674AE1">
      <w:pPr>
        <w:pStyle w:val="Heading4"/>
        <w:numPr>
          <w:ilvl w:val="0"/>
          <w:numId w:val="76"/>
        </w:numPr>
      </w:pPr>
      <w:bookmarkStart w:id="220" w:name="_Toc230935851"/>
      <w:bookmarkStart w:id="221" w:name="_Toc231806346"/>
      <w:bookmarkStart w:id="222" w:name="_Toc243558563"/>
      <w:r w:rsidRPr="008E38AF">
        <w:t>Ranking and Notice of Proposed Award</w:t>
      </w:r>
      <w:r>
        <w:t xml:space="preserve"> (NOPA)</w:t>
      </w:r>
      <w:bookmarkEnd w:id="220"/>
      <w:bookmarkEnd w:id="221"/>
      <w:bookmarkEnd w:id="222"/>
    </w:p>
    <w:p w14:paraId="2054CDBE" w14:textId="77777777" w:rsidR="00674AE1" w:rsidRDefault="00674AE1" w:rsidP="00674AE1">
      <w:r w:rsidRPr="008E38AF">
        <w:t xml:space="preserve">Applications </w:t>
      </w:r>
      <w:r>
        <w:t xml:space="preserve">receiving </w:t>
      </w:r>
      <w:r w:rsidDel="00044DD1">
        <w:t>at least the</w:t>
      </w:r>
      <w:r w:rsidRPr="008E38AF" w:rsidDel="00044DD1">
        <w:t xml:space="preserve"> minimum </w:t>
      </w:r>
      <w:r w:rsidDel="00044DD1">
        <w:t xml:space="preserve">required </w:t>
      </w:r>
      <w:r w:rsidRPr="008E38AF" w:rsidDel="00044DD1">
        <w:t xml:space="preserve">score </w:t>
      </w:r>
      <w:r w:rsidRPr="003E6D28" w:rsidDel="00044DD1">
        <w:t>for all criteria</w:t>
      </w:r>
      <w:r>
        <w:t xml:space="preserve"> </w:t>
      </w:r>
      <w:r w:rsidRPr="003E6D28">
        <w:t>will be ranked according to their score.</w:t>
      </w:r>
      <w:r>
        <w:t xml:space="preserve"> The results of application evaluation will be posted in a Notice of Proposed Awards (NOPA). The NOPA will be published on the CEC’s website and emailed to all entities that applied. </w:t>
      </w:r>
    </w:p>
    <w:p w14:paraId="7065C81D" w14:textId="77777777" w:rsidR="00674AE1" w:rsidRDefault="00674AE1" w:rsidP="00674AE1">
      <w:r>
        <w:t>The</w:t>
      </w:r>
      <w:r w:rsidRPr="00C31C1D">
        <w:t xml:space="preserve"> </w:t>
      </w:r>
      <w:r w:rsidRPr="004F15B4">
        <w:t>NOPA</w:t>
      </w:r>
      <w:r>
        <w:t xml:space="preserve"> includes: (1) the</w:t>
      </w:r>
      <w:r w:rsidRPr="0004356A">
        <w:t xml:space="preserve"> </w:t>
      </w:r>
      <w:r>
        <w:t xml:space="preserve">total </w:t>
      </w:r>
      <w:r w:rsidRPr="0004356A">
        <w:t>proposed fun</w:t>
      </w:r>
      <w:r>
        <w:t>ding amount; (2) the rank order of applications with passing scores;</w:t>
      </w:r>
      <w:r w:rsidRPr="0004356A">
        <w:t xml:space="preserve"> and </w:t>
      </w:r>
      <w:r>
        <w:t xml:space="preserve">(3) projects recommended for an award and </w:t>
      </w:r>
      <w:r w:rsidRPr="0004356A">
        <w:t>the amount of each proposed award</w:t>
      </w:r>
      <w:r>
        <w:t xml:space="preserve">. </w:t>
      </w:r>
    </w:p>
    <w:p w14:paraId="0BBAF56D" w14:textId="77777777" w:rsidR="00674AE1" w:rsidRPr="00BC46EB" w:rsidRDefault="00674AE1" w:rsidP="00674AE1">
      <w:r w:rsidRPr="00231711">
        <w:t>Proposed awards must be approved by the C</w:t>
      </w:r>
      <w:r w:rsidRPr="00FB7AFA">
        <w:t xml:space="preserve">EC at a </w:t>
      </w:r>
      <w:r>
        <w:t>B</w:t>
      </w:r>
      <w:r w:rsidRPr="00FB7AFA">
        <w:t xml:space="preserve">usiness </w:t>
      </w:r>
      <w:r>
        <w:t>M</w:t>
      </w:r>
      <w:r w:rsidRPr="00FB7AFA">
        <w:t>eeting.</w:t>
      </w:r>
    </w:p>
    <w:p w14:paraId="1E6617DD" w14:textId="77777777" w:rsidR="00674AE1" w:rsidRDefault="00674AE1" w:rsidP="00674AE1">
      <w:r>
        <w:t>In addition to any of its other rights, t</w:t>
      </w:r>
      <w:r w:rsidRPr="0093474F">
        <w:t xml:space="preserve">he </w:t>
      </w:r>
      <w:r>
        <w:t>CEC</w:t>
      </w:r>
      <w:r w:rsidRPr="0093474F">
        <w:t xml:space="preserve"> reserves the right to:</w:t>
      </w:r>
    </w:p>
    <w:p w14:paraId="4DAE34C7" w14:textId="77777777" w:rsidR="00674AE1" w:rsidRDefault="00674AE1" w:rsidP="00674AE1">
      <w:pPr>
        <w:pStyle w:val="ListParagraph"/>
        <w:numPr>
          <w:ilvl w:val="0"/>
          <w:numId w:val="8"/>
        </w:numPr>
        <w:contextualSpacing w:val="0"/>
      </w:pPr>
      <w:r w:rsidRPr="0093474F">
        <w:t>Allocate any additional funds to passing applications</w:t>
      </w:r>
      <w:r>
        <w:t xml:space="preserve">, in rank </w:t>
      </w:r>
      <w:proofErr w:type="gramStart"/>
      <w:r>
        <w:t>order</w:t>
      </w:r>
      <w:r w:rsidRPr="0093474F">
        <w:t>;</w:t>
      </w:r>
      <w:proofErr w:type="gramEnd"/>
    </w:p>
    <w:p w14:paraId="2F2B98AD" w14:textId="77777777" w:rsidR="00674AE1" w:rsidRDefault="00674AE1" w:rsidP="00674AE1">
      <w:pPr>
        <w:pStyle w:val="ListParagraph"/>
        <w:numPr>
          <w:ilvl w:val="0"/>
          <w:numId w:val="8"/>
        </w:numPr>
        <w:contextualSpacing w:val="0"/>
      </w:pPr>
      <w:r>
        <w:t>Negotiate with successful a</w:t>
      </w:r>
      <w:r w:rsidRPr="0093474F">
        <w:t>pplicants</w:t>
      </w:r>
      <w:r w:rsidRPr="00FB7AFA">
        <w:rPr>
          <w:b/>
        </w:rPr>
        <w:t xml:space="preserve"> </w:t>
      </w:r>
      <w:r w:rsidRPr="0093474F">
        <w:t>to</w:t>
      </w:r>
      <w:r w:rsidRPr="00FB7AFA">
        <w:rPr>
          <w:b/>
        </w:rPr>
        <w:t xml:space="preserve"> </w:t>
      </w:r>
      <w:r w:rsidRPr="0093474F">
        <w:t xml:space="preserve">modify the </w:t>
      </w:r>
      <w:r>
        <w:t>project</w:t>
      </w:r>
      <w:r w:rsidRPr="0093474F">
        <w:t xml:space="preserve"> scope</w:t>
      </w:r>
      <w:r>
        <w:t>, schedule, project team entity that will receive the award, project location and/or level of funding.</w:t>
      </w:r>
    </w:p>
    <w:p w14:paraId="368CEB48" w14:textId="77777777" w:rsidR="00674AE1" w:rsidRPr="0074167B" w:rsidRDefault="00674AE1">
      <w:pPr>
        <w:pStyle w:val="Heading4"/>
        <w:numPr>
          <w:ilvl w:val="0"/>
          <w:numId w:val="76"/>
        </w:numPr>
      </w:pPr>
      <w:bookmarkStart w:id="223" w:name="_Toc243558564"/>
      <w:r w:rsidRPr="00DD53E9">
        <w:t>Debriefings</w:t>
      </w:r>
      <w:bookmarkEnd w:id="223"/>
    </w:p>
    <w:p w14:paraId="572AF91B" w14:textId="77777777" w:rsidR="00674AE1" w:rsidRPr="0090132C" w:rsidRDefault="00674AE1" w:rsidP="00674AE1">
      <w:r w:rsidRPr="0090132C">
        <w:t>Applications that are not recommended for funding may request a debriefing after the release of the NOPA by emailing the CAO. A request for debriefing must be received no later than 15 calendar days after the NOPA is released.</w:t>
      </w:r>
    </w:p>
    <w:p w14:paraId="26A35362" w14:textId="77777777" w:rsidR="00674AE1" w:rsidRPr="005522EA" w:rsidRDefault="00674AE1">
      <w:pPr>
        <w:pStyle w:val="Heading4"/>
        <w:numPr>
          <w:ilvl w:val="0"/>
          <w:numId w:val="76"/>
        </w:numPr>
      </w:pPr>
      <w:bookmarkStart w:id="224" w:name="_Toc243558565"/>
      <w:r w:rsidRPr="00E13674">
        <w:t>Agreements</w:t>
      </w:r>
      <w:bookmarkEnd w:id="224"/>
    </w:p>
    <w:p w14:paraId="62C29085" w14:textId="1B94A34A" w:rsidR="00674AE1" w:rsidRPr="001D6154" w:rsidRDefault="00674AE1" w:rsidP="00674AE1">
      <w:pPr>
        <w:rPr>
          <w:rFonts w:cs="Tahoma"/>
        </w:rPr>
      </w:pPr>
      <w:r w:rsidRPr="00C31C1D">
        <w:t xml:space="preserve">Applications recommended for funding </w:t>
      </w:r>
      <w:r>
        <w:t xml:space="preserve">in the NOPA </w:t>
      </w:r>
      <w:r w:rsidRPr="00C31C1D">
        <w:t xml:space="preserve">will be developed into a </w:t>
      </w:r>
      <w:r>
        <w:t xml:space="preserve">proposed </w:t>
      </w:r>
      <w:r w:rsidRPr="00C31C1D">
        <w:t xml:space="preserve">grant agreement to be considered at a </w:t>
      </w:r>
      <w:r>
        <w:t>CEC</w:t>
      </w:r>
      <w:r w:rsidRPr="00C31C1D">
        <w:t xml:space="preserve"> Business Meeting.</w:t>
      </w:r>
      <w:r>
        <w:t xml:space="preserve"> </w:t>
      </w:r>
      <w:r w:rsidRPr="6B662E53">
        <w:rPr>
          <w:rFonts w:cs="Tahoma"/>
        </w:rPr>
        <w:t>Any changes to Attachment 04 Scope of Work, Attachment 05 Project Schedule, Attachment 06 Budget</w:t>
      </w:r>
      <w:r w:rsidR="23F61F45" w:rsidRPr="4D96F6A2">
        <w:rPr>
          <w:rFonts w:cs="Tahoma"/>
        </w:rPr>
        <w:t>, or the terms and conditions,</w:t>
      </w:r>
      <w:r w:rsidRPr="6B662E53" w:rsidDel="00226AD7">
        <w:rPr>
          <w:rFonts w:cs="Tahoma"/>
        </w:rPr>
        <w:t xml:space="preserve"> </w:t>
      </w:r>
      <w:r w:rsidRPr="6B662E53">
        <w:rPr>
          <w:rFonts w:cs="Tahoma"/>
        </w:rPr>
        <w:t xml:space="preserve">will be discussed. If there is no agreement on the changes, CEC reserves the right to cancel the proposed award. </w:t>
      </w:r>
    </w:p>
    <w:p w14:paraId="5D2F27D0" w14:textId="77777777" w:rsidR="00674AE1" w:rsidRDefault="00674AE1" w:rsidP="00674AE1">
      <w:r>
        <w:t>Grant r</w:t>
      </w:r>
      <w:r w:rsidRPr="00BB6E63">
        <w:t xml:space="preserve">ecipients </w:t>
      </w:r>
      <w:r>
        <w:t>may</w:t>
      </w:r>
      <w:r w:rsidRPr="00BB6E63">
        <w:t xml:space="preserve"> begin the project only after full execution of the grant agreement</w:t>
      </w:r>
      <w:r>
        <w:t xml:space="preserve"> (that is, after the approval at a CEC Business Meeting and signatures by the grant recipient and the CEC)</w:t>
      </w:r>
      <w:r w:rsidRPr="00BB6E63">
        <w:t>.</w:t>
      </w:r>
    </w:p>
    <w:p w14:paraId="75174D2C" w14:textId="77777777" w:rsidR="00674AE1" w:rsidRDefault="00674AE1" w:rsidP="00674AE1">
      <w:pPr>
        <w:pStyle w:val="ListParagraph"/>
        <w:numPr>
          <w:ilvl w:val="0"/>
          <w:numId w:val="8"/>
        </w:numPr>
        <w:contextualSpacing w:val="0"/>
      </w:pPr>
      <w:r w:rsidRPr="00A2146D">
        <w:rPr>
          <w:b/>
        </w:rPr>
        <w:t>Agreement Development:</w:t>
      </w:r>
      <w:r>
        <w:t xml:space="preserve"> The Contracts, Grants, and Loans Office will send the grant recipient </w:t>
      </w:r>
      <w:r w:rsidRPr="00BB6E63">
        <w:t>a grant agreement</w:t>
      </w:r>
      <w:r>
        <w:t xml:space="preserve"> </w:t>
      </w:r>
      <w:r w:rsidRPr="00BB6E63">
        <w:t xml:space="preserve">for </w:t>
      </w:r>
      <w:r>
        <w:t>approval</w:t>
      </w:r>
      <w:r w:rsidRPr="00BB6E63">
        <w:t xml:space="preserve"> and signature.</w:t>
      </w:r>
      <w:r>
        <w:t xml:space="preserve"> The agreement will include the applicable terms and c</w:t>
      </w:r>
      <w:r w:rsidRPr="00BB6E63">
        <w:t>onditions</w:t>
      </w:r>
      <w:r w:rsidRPr="00F00B82">
        <w:t xml:space="preserve"> </w:t>
      </w:r>
      <w:r>
        <w:t xml:space="preserve">and will incorporate this solicitation and the application by reference. </w:t>
      </w:r>
      <w:r w:rsidRPr="00BB6E63">
        <w:t xml:space="preserve">The </w:t>
      </w:r>
      <w:r>
        <w:t>CEC</w:t>
      </w:r>
      <w:r w:rsidRPr="00BB6E63">
        <w:t xml:space="preserve"> reserves the right to modify the </w:t>
      </w:r>
      <w:r>
        <w:t xml:space="preserve">award documents (including the </w:t>
      </w:r>
      <w:r w:rsidRPr="0025392C">
        <w:t>project scope, level of funding and</w:t>
      </w:r>
      <w:r>
        <w:t xml:space="preserve"> </w:t>
      </w:r>
      <w:r w:rsidRPr="00BB6E63">
        <w:t>terms and conditions</w:t>
      </w:r>
      <w:r>
        <w:t>) prior to executing any agreement.</w:t>
      </w:r>
      <w:r w:rsidRPr="00E8103F">
        <w:rPr>
          <w:rFonts w:cs="Tahoma"/>
          <w:szCs w:val="24"/>
        </w:rPr>
        <w:t xml:space="preserve"> </w:t>
      </w:r>
      <w:r>
        <w:rPr>
          <w:rFonts w:cs="Tahoma"/>
          <w:szCs w:val="24"/>
        </w:rPr>
        <w:t xml:space="preserve">Recipients that are California Native </w:t>
      </w:r>
      <w:r w:rsidRPr="00F5623A">
        <w:rPr>
          <w:rFonts w:cs="Tahoma"/>
          <w:szCs w:val="24"/>
        </w:rPr>
        <w:t>American tribes or public agencies must provide an authorizing resolution approved by their tribal council</w:t>
      </w:r>
      <w:r>
        <w:rPr>
          <w:rFonts w:cs="Tahoma"/>
          <w:szCs w:val="24"/>
        </w:rPr>
        <w:t xml:space="preserve"> or </w:t>
      </w:r>
      <w:r w:rsidRPr="00DE2739">
        <w:rPr>
          <w:rFonts w:cs="Tahoma"/>
          <w:szCs w:val="24"/>
        </w:rPr>
        <w:t>governing authority to enter into an agreement with CEC and designating an authorized representative to sign.</w:t>
      </w:r>
    </w:p>
    <w:p w14:paraId="19F87F6E" w14:textId="77777777" w:rsidR="00674AE1" w:rsidRDefault="00674AE1" w:rsidP="00674AE1">
      <w:pPr>
        <w:pStyle w:val="ListParagraph"/>
        <w:numPr>
          <w:ilvl w:val="0"/>
          <w:numId w:val="8"/>
        </w:numPr>
        <w:contextualSpacing w:val="0"/>
      </w:pPr>
      <w:r w:rsidRPr="00A2146D">
        <w:rPr>
          <w:b/>
        </w:rPr>
        <w:lastRenderedPageBreak/>
        <w:t>Performance Evaluation:</w:t>
      </w:r>
      <w:r>
        <w:t xml:space="preserve"> An a</w:t>
      </w:r>
      <w:r w:rsidRPr="006F055E">
        <w:t xml:space="preserve">pplicant receiving </w:t>
      </w:r>
      <w:r>
        <w:t xml:space="preserve">an </w:t>
      </w:r>
      <w:r w:rsidRPr="006F055E">
        <w:t xml:space="preserve">award under this solicitation </w:t>
      </w:r>
      <w:r>
        <w:t>is</w:t>
      </w:r>
      <w:r w:rsidRPr="006F055E">
        <w:t xml:space="preserve"> subject to</w:t>
      </w:r>
      <w:r>
        <w:t xml:space="preserve"> an</w:t>
      </w:r>
      <w:r w:rsidRPr="006F055E">
        <w:t xml:space="preserve"> evaluation of performance under the resulting agreement. The CEC reserves the right to utilize the performance evaluation to screen and score future funding applications</w:t>
      </w:r>
      <w:r>
        <w:t>.</w:t>
      </w:r>
    </w:p>
    <w:p w14:paraId="6D3D6EE8" w14:textId="77777777" w:rsidR="00674AE1" w:rsidRDefault="00674AE1" w:rsidP="00674AE1">
      <w:pPr>
        <w:pStyle w:val="ListParagraph"/>
        <w:numPr>
          <w:ilvl w:val="0"/>
          <w:numId w:val="8"/>
        </w:numPr>
        <w:contextualSpacing w:val="0"/>
      </w:pPr>
      <w:r w:rsidRPr="5DF436B2">
        <w:rPr>
          <w:b/>
          <w:bCs/>
        </w:rPr>
        <w:t>Failure to Execute an Agreement:</w:t>
      </w:r>
      <w:r>
        <w:t xml:space="preserve"> If the CEC is </w:t>
      </w:r>
      <w:r w:rsidRPr="0093474F">
        <w:t>unable to succe</w:t>
      </w:r>
      <w:r>
        <w:t>ssfully execute an agreement with an a</w:t>
      </w:r>
      <w:r w:rsidRPr="0093474F">
        <w:t>pplicant</w:t>
      </w:r>
      <w:r>
        <w:t xml:space="preserve"> in a timely manner</w:t>
      </w:r>
      <w:r w:rsidRPr="0093474F">
        <w:t xml:space="preserve">, </w:t>
      </w:r>
      <w:r>
        <w:t xml:space="preserve">it reserves the right to </w:t>
      </w:r>
      <w:r w:rsidRPr="0093474F">
        <w:t xml:space="preserve">cancel the pending </w:t>
      </w:r>
      <w:r>
        <w:t>award and use the funds elsewhere, such as to fund the next highest-</w:t>
      </w:r>
      <w:r w:rsidRPr="0093474F">
        <w:t>ranked</w:t>
      </w:r>
      <w:r>
        <w:t>,</w:t>
      </w:r>
      <w:r w:rsidRPr="0093474F">
        <w:t xml:space="preserve"> eligible application.</w:t>
      </w:r>
    </w:p>
    <w:p w14:paraId="68D4B337" w14:textId="77777777" w:rsidR="00674AE1" w:rsidRPr="00275BA8" w:rsidRDefault="00674AE1" w:rsidP="00674AE1">
      <w:pPr>
        <w:pStyle w:val="ListParagraph"/>
        <w:numPr>
          <w:ilvl w:val="0"/>
          <w:numId w:val="8"/>
        </w:numPr>
        <w:spacing w:after="0"/>
        <w:contextualSpacing w:val="0"/>
        <w:rPr>
          <w:rFonts w:cs="Tahoma"/>
        </w:rPr>
      </w:pPr>
      <w:r w:rsidRPr="5DF436B2">
        <w:rPr>
          <w:rFonts w:cs="Tahoma"/>
          <w:b/>
          <w:bCs/>
        </w:rPr>
        <w:t>Agreement Amendment.</w:t>
      </w:r>
      <w:r w:rsidRPr="0CA744DB">
        <w:rPr>
          <w:rFonts w:cs="Tahoma"/>
        </w:rPr>
        <w:t xml:space="preserve"> The executed agreement may be amended by mutual consent of the CEC and the Recipient. The agreement may require amendments </w:t>
      </w:r>
      <w:proofErr w:type="gramStart"/>
      <w:r w:rsidRPr="0CA744DB">
        <w:rPr>
          <w:rFonts w:cs="Tahoma"/>
        </w:rPr>
        <w:t>as a result of</w:t>
      </w:r>
      <w:proofErr w:type="gramEnd"/>
      <w:r w:rsidRPr="0CA744DB">
        <w:rPr>
          <w:rFonts w:cs="Tahoma"/>
        </w:rPr>
        <w:t xml:space="preserve"> oversight, project reviews, progress, changes in project scope, and/or availability in funding.</w:t>
      </w:r>
    </w:p>
    <w:p w14:paraId="42EC256A" w14:textId="77777777" w:rsidR="00674AE1" w:rsidRPr="00CF6DED" w:rsidRDefault="00674AE1" w:rsidP="005745DE">
      <w:pPr>
        <w:pStyle w:val="Heading3"/>
        <w:ind w:left="0"/>
      </w:pPr>
      <w:bookmarkStart w:id="225" w:name="_Toc177403900"/>
      <w:bookmarkStart w:id="226" w:name="_Toc366671196"/>
      <w:bookmarkStart w:id="227" w:name="_Toc243558566"/>
      <w:r w:rsidRPr="00CF6DED">
        <w:t xml:space="preserve">Grounds to Reject an </w:t>
      </w:r>
      <w:proofErr w:type="gramStart"/>
      <w:r w:rsidRPr="00CF6DED">
        <w:t>Application</w:t>
      </w:r>
      <w:proofErr w:type="gramEnd"/>
      <w:r w:rsidRPr="00CF6DED">
        <w:t xml:space="preserve"> or Cancel an Award</w:t>
      </w:r>
      <w:bookmarkEnd w:id="225"/>
      <w:bookmarkEnd w:id="227"/>
    </w:p>
    <w:bookmarkEnd w:id="226"/>
    <w:p w14:paraId="78642494" w14:textId="77777777" w:rsidR="00674AE1" w:rsidRPr="00C31C1D" w:rsidRDefault="00674AE1" w:rsidP="00674AE1">
      <w:r>
        <w:t>Applications that do not pass the Administrative Screening Criteria in Phase One of the evaluation process will be rejected. In addition</w:t>
      </w:r>
      <w:r w:rsidRPr="00C31C1D">
        <w:t xml:space="preserve">, the </w:t>
      </w:r>
      <w:r>
        <w:t>CEC</w:t>
      </w:r>
      <w:r w:rsidRPr="00C31C1D">
        <w:t xml:space="preserve"> reserves the right to reject an application and/or </w:t>
      </w:r>
      <w:r>
        <w:t xml:space="preserve">to </w:t>
      </w:r>
      <w:r w:rsidRPr="00C31C1D">
        <w:t xml:space="preserve">cancel an award </w:t>
      </w:r>
      <w:r>
        <w:t>for any reason, including any of</w:t>
      </w:r>
      <w:r w:rsidRPr="00C31C1D">
        <w:t xml:space="preserve"> the following</w:t>
      </w:r>
      <w:r>
        <w:t>:</w:t>
      </w:r>
      <w:r w:rsidRPr="00C31C1D">
        <w:t xml:space="preserve"> </w:t>
      </w:r>
    </w:p>
    <w:p w14:paraId="34DC3023" w14:textId="77777777" w:rsidR="00674AE1" w:rsidRPr="00C31C1D" w:rsidRDefault="00674AE1" w:rsidP="00674AE1">
      <w:pPr>
        <w:pStyle w:val="ListParagraph"/>
        <w:numPr>
          <w:ilvl w:val="0"/>
          <w:numId w:val="3"/>
        </w:numPr>
        <w:contextualSpacing w:val="0"/>
      </w:pPr>
      <w:r>
        <w:t>The application</w:t>
      </w:r>
      <w:r w:rsidRPr="00C31C1D">
        <w:t xml:space="preserve"> contains false or intentionally misleading statements or references </w:t>
      </w:r>
      <w:r>
        <w:t xml:space="preserve">that </w:t>
      </w:r>
      <w:r w:rsidRPr="00C31C1D">
        <w:t>do not support an attribute or c</w:t>
      </w:r>
      <w:r>
        <w:t>ondition contended by the a</w:t>
      </w:r>
      <w:r w:rsidRPr="00C31C1D">
        <w:t>pplicant.</w:t>
      </w:r>
    </w:p>
    <w:p w14:paraId="7E2F779E" w14:textId="77777777" w:rsidR="00674AE1" w:rsidRPr="00C31C1D" w:rsidRDefault="00674AE1" w:rsidP="00674AE1">
      <w:pPr>
        <w:pStyle w:val="ListParagraph"/>
        <w:numPr>
          <w:ilvl w:val="0"/>
          <w:numId w:val="3"/>
        </w:numPr>
        <w:contextualSpacing w:val="0"/>
      </w:pPr>
      <w:r w:rsidRPr="00C31C1D">
        <w:t>The</w:t>
      </w:r>
      <w:r>
        <w:t xml:space="preserve"> a</w:t>
      </w:r>
      <w:r w:rsidRPr="00C31C1D">
        <w:t xml:space="preserve">pplication is intended to erroneously and fallaciously mislead the State in </w:t>
      </w:r>
      <w:r>
        <w:t xml:space="preserve">any way. </w:t>
      </w:r>
    </w:p>
    <w:p w14:paraId="7E0CDE7B" w14:textId="77777777" w:rsidR="00674AE1" w:rsidRDefault="00674AE1" w:rsidP="00674AE1">
      <w:pPr>
        <w:pStyle w:val="ListParagraph"/>
        <w:numPr>
          <w:ilvl w:val="0"/>
          <w:numId w:val="3"/>
        </w:numPr>
        <w:contextualSpacing w:val="0"/>
      </w:pPr>
      <w:r>
        <w:t xml:space="preserve">The application </w:t>
      </w:r>
      <w:r w:rsidRPr="00C31C1D">
        <w:t>does not comply or contains caveats that conflict with the solicitation</w:t>
      </w:r>
      <w:r>
        <w:t>,</w:t>
      </w:r>
      <w:r w:rsidRPr="00C31C1D">
        <w:t xml:space="preserve"> and the variation or deviation is material</w:t>
      </w:r>
      <w:r>
        <w:t>.</w:t>
      </w:r>
    </w:p>
    <w:p w14:paraId="4EC01F13" w14:textId="77777777" w:rsidR="00674AE1" w:rsidRDefault="00674AE1" w:rsidP="00674AE1">
      <w:pPr>
        <w:pStyle w:val="ListParagraph"/>
        <w:numPr>
          <w:ilvl w:val="0"/>
          <w:numId w:val="4"/>
        </w:numPr>
        <w:contextualSpacing w:val="0"/>
      </w:pPr>
      <w:r>
        <w:t>The a</w:t>
      </w:r>
      <w:r w:rsidRPr="00C31C1D">
        <w:t xml:space="preserve">pplicant has received unsatisfactory </w:t>
      </w:r>
      <w:r>
        <w:t xml:space="preserve">agreement performance </w:t>
      </w:r>
      <w:r w:rsidRPr="00C31C1D">
        <w:t xml:space="preserve">evaluations from the </w:t>
      </w:r>
      <w:r>
        <w:t>CEC</w:t>
      </w:r>
      <w:r w:rsidRPr="00C31C1D">
        <w:t xml:space="preserve"> or another California state agenc</w:t>
      </w:r>
      <w:r>
        <w:t>y</w:t>
      </w:r>
      <w:r w:rsidRPr="00C31C1D">
        <w:t>.</w:t>
      </w:r>
    </w:p>
    <w:p w14:paraId="3B7508A0" w14:textId="77777777" w:rsidR="00674AE1" w:rsidRPr="00C31C1D" w:rsidRDefault="00674AE1" w:rsidP="00674AE1">
      <w:pPr>
        <w:pStyle w:val="ListParagraph"/>
        <w:numPr>
          <w:ilvl w:val="0"/>
          <w:numId w:val="4"/>
        </w:numPr>
        <w:contextualSpacing w:val="0"/>
      </w:pPr>
      <w:r>
        <w:t>The applicant is a business entity required to be registered with the California Secretary of State and is not in good standing.</w:t>
      </w:r>
    </w:p>
    <w:p w14:paraId="13D8AB1C" w14:textId="09C4DC33" w:rsidR="00674AE1" w:rsidRDefault="63B9AFAD" w:rsidP="00674AE1">
      <w:pPr>
        <w:pStyle w:val="ListParagraph"/>
        <w:numPr>
          <w:ilvl w:val="0"/>
          <w:numId w:val="4"/>
        </w:numPr>
        <w:contextualSpacing w:val="0"/>
      </w:pPr>
      <w:r>
        <w:t>The CEC, in its sole discretion, determines the Applicant’s, a subrecipient’s, or a vendor’s financial condition may materially impact its ability to complete the proposed project.</w:t>
      </w:r>
    </w:p>
    <w:p w14:paraId="7A29017F" w14:textId="77777777" w:rsidR="00674AE1" w:rsidRPr="00373BBE" w:rsidRDefault="00674AE1" w:rsidP="00674AE1">
      <w:pPr>
        <w:pStyle w:val="ListParagraph"/>
        <w:numPr>
          <w:ilvl w:val="0"/>
          <w:numId w:val="4"/>
        </w:numPr>
        <w:contextualSpacing w:val="0"/>
      </w:pPr>
      <w:r>
        <w:t>The</w:t>
      </w:r>
      <w:r w:rsidRPr="00373BBE">
        <w:t xml:space="preserve"> applicant fails to meet CEQA compliance within sufficient time for the CEC to meet its encumbrance deadline or any other deadlines, as the CEC in its sole and absolute discretion may determine.</w:t>
      </w:r>
    </w:p>
    <w:p w14:paraId="122B6B69" w14:textId="664FB0E2" w:rsidR="00674AE1" w:rsidRPr="00CE1D19" w:rsidRDefault="00674AE1" w:rsidP="00674AE1">
      <w:pPr>
        <w:pStyle w:val="ListParagraph"/>
        <w:numPr>
          <w:ilvl w:val="0"/>
          <w:numId w:val="4"/>
        </w:numPr>
        <w:contextualSpacing w:val="0"/>
      </w:pPr>
      <w:r w:rsidRPr="007B3F78">
        <w:t>The applicant has included a statement or otherwise indicat</w:t>
      </w:r>
      <w:r>
        <w:t>ing</w:t>
      </w:r>
      <w:r w:rsidRPr="007B3F78">
        <w:t xml:space="preserve"> that it will not accept the terms and conditions, or that acceptance is based on modifications to the terms and conditions.</w:t>
      </w:r>
      <w:r w:rsidRPr="007775EF">
        <w:t xml:space="preserve"> If an applicant, by law, cannot agree to certain terms and conditions, the applicant </w:t>
      </w:r>
      <w:r w:rsidR="5E07F381">
        <w:t xml:space="preserve">should submit the issue to the CAO in writing prior </w:t>
      </w:r>
      <w:r w:rsidR="5E07F381">
        <w:lastRenderedPageBreak/>
        <w:t xml:space="preserve">to Deadline for Written Questions. </w:t>
      </w:r>
      <w:r w:rsidRPr="007775EF">
        <w:t>The CEC retains the sole right to refuse to agree to any requested modifications.</w:t>
      </w:r>
    </w:p>
    <w:p w14:paraId="26C461CE" w14:textId="77777777" w:rsidR="00674AE1" w:rsidRDefault="00674AE1" w:rsidP="005745DE">
      <w:pPr>
        <w:pStyle w:val="Heading3"/>
        <w:ind w:left="0"/>
      </w:pPr>
      <w:bookmarkStart w:id="228" w:name="_Toc433981345"/>
      <w:bookmarkStart w:id="229" w:name="_Toc177403902"/>
      <w:bookmarkStart w:id="230" w:name="_Toc243558567"/>
      <w:r>
        <w:t>Phase</w:t>
      </w:r>
      <w:r w:rsidRPr="00CF6DED">
        <w:t xml:space="preserve"> One: Application Screening</w:t>
      </w:r>
      <w:bookmarkEnd w:id="228"/>
      <w:bookmarkEnd w:id="229"/>
      <w:bookmarkEnd w:id="230"/>
    </w:p>
    <w:p w14:paraId="56E8DA53" w14:textId="77777777" w:rsidR="00674AE1" w:rsidRDefault="00674AE1" w:rsidP="00674AE1">
      <w:r>
        <w:t xml:space="preserve">The application must pass </w:t>
      </w:r>
      <w:r w:rsidRPr="00184F23">
        <w:rPr>
          <w:u w:val="single"/>
        </w:rPr>
        <w:t>all</w:t>
      </w:r>
      <w:r>
        <w:t xml:space="preserve"> screening criteria to progress to Phase two. </w:t>
      </w:r>
    </w:p>
    <w:p w14:paraId="3E0C8EB9" w14:textId="77777777" w:rsidR="00674AE1" w:rsidRDefault="00674AE1" w:rsidP="00674AE1">
      <w:r>
        <w:t xml:space="preserve">There are three categories of screening criteria: Table 6 describes the administrative screening criteria, Table 7 describes the technical screening criteria, and Table 8 describes the past performance screening criteria. </w:t>
      </w:r>
    </w:p>
    <w:p w14:paraId="02CC309E" w14:textId="77777777" w:rsidR="00674AE1" w:rsidRPr="00CF6DED" w:rsidRDefault="00674AE1" w:rsidP="00674AE1">
      <w:pPr>
        <w:pStyle w:val="TableTitle"/>
      </w:pPr>
      <w:bookmarkStart w:id="231" w:name="_Toc243558590"/>
      <w:r>
        <w:t>Table 6: Administrative Screening Criteria</w:t>
      </w:r>
      <w:bookmarkEnd w:id="231"/>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Caption w:val="Solicitation Application Scoring Criteria "/>
        <w:tblDescription w:val="This table details how applicants will be scored."/>
      </w:tblPr>
      <w:tblGrid>
        <w:gridCol w:w="7231"/>
        <w:gridCol w:w="2484"/>
      </w:tblGrid>
      <w:tr w:rsidR="00674AE1" w:rsidRPr="00C31C1D" w14:paraId="163B2465" w14:textId="77777777" w:rsidTr="005745DE">
        <w:trPr>
          <w:cantSplit/>
          <w:trHeight w:val="586"/>
          <w:tblHeader/>
        </w:trPr>
        <w:tc>
          <w:tcPr>
            <w:tcW w:w="7231" w:type="dxa"/>
            <w:shd w:val="clear" w:color="auto" w:fill="D9D9D9" w:themeFill="background1" w:themeFillShade="D9"/>
            <w:vAlign w:val="center"/>
          </w:tcPr>
          <w:p w14:paraId="6E71D5F7" w14:textId="77777777" w:rsidR="00674AE1" w:rsidRPr="00847042" w:rsidRDefault="00674AE1">
            <w:pPr>
              <w:rPr>
                <w:b/>
                <w:bCs/>
              </w:rPr>
            </w:pPr>
            <w:r w:rsidRPr="00A60659">
              <w:rPr>
                <w:i/>
                <w:iCs/>
              </w:rPr>
              <w:t xml:space="preserve">The Application must pass ALL </w:t>
            </w:r>
            <w:r>
              <w:rPr>
                <w:i/>
                <w:iCs/>
              </w:rPr>
              <w:t xml:space="preserve">administrative screening </w:t>
            </w:r>
            <w:r w:rsidRPr="00A60659">
              <w:rPr>
                <w:i/>
                <w:iCs/>
              </w:rPr>
              <w:t>criteria</w:t>
            </w:r>
          </w:p>
        </w:tc>
        <w:tc>
          <w:tcPr>
            <w:tcW w:w="2484" w:type="dxa"/>
            <w:shd w:val="clear" w:color="auto" w:fill="D9D9D9" w:themeFill="background1" w:themeFillShade="D9"/>
            <w:vAlign w:val="center"/>
          </w:tcPr>
          <w:p w14:paraId="202A6A42" w14:textId="77777777" w:rsidR="00674AE1" w:rsidRPr="00C31C1D" w:rsidRDefault="00674AE1">
            <w:r w:rsidRPr="00C31C1D">
              <w:t>Pass/Fail</w:t>
            </w:r>
          </w:p>
        </w:tc>
      </w:tr>
      <w:tr w:rsidR="00674AE1" w:rsidRPr="00C31C1D" w14:paraId="3D59188C" w14:textId="77777777">
        <w:tc>
          <w:tcPr>
            <w:tcW w:w="7231" w:type="dxa"/>
            <w:tcBorders>
              <w:bottom w:val="single" w:sz="4" w:space="0" w:color="auto"/>
            </w:tcBorders>
          </w:tcPr>
          <w:p w14:paraId="75EFF5EE" w14:textId="77777777" w:rsidR="00674AE1" w:rsidRPr="00C31C1D" w:rsidRDefault="00674AE1">
            <w:pPr>
              <w:pStyle w:val="ListParagraph"/>
              <w:numPr>
                <w:ilvl w:val="0"/>
                <w:numId w:val="2"/>
              </w:numPr>
              <w:contextualSpacing w:val="0"/>
            </w:pPr>
            <w:r>
              <w:t>The a</w:t>
            </w:r>
            <w:r w:rsidRPr="00C31C1D">
              <w:t xml:space="preserve">pplication </w:t>
            </w:r>
            <w:r>
              <w:t xml:space="preserve">is </w:t>
            </w:r>
            <w:r w:rsidRPr="00C31C1D">
              <w:t xml:space="preserve">received by the </w:t>
            </w:r>
            <w:r>
              <w:t>CEC</w:t>
            </w:r>
            <w:r w:rsidRPr="00C31C1D">
              <w:t xml:space="preserve"> by the d</w:t>
            </w:r>
            <w:r>
              <w:t>u</w:t>
            </w:r>
            <w:r w:rsidRPr="00C31C1D">
              <w:t xml:space="preserve">e date and time </w:t>
            </w:r>
            <w:r>
              <w:t xml:space="preserve">specified </w:t>
            </w:r>
            <w:r w:rsidRPr="00C31C1D">
              <w:t xml:space="preserve">in </w:t>
            </w:r>
            <w:r>
              <w:t>the Key Activities Schedule</w:t>
            </w:r>
            <w:r w:rsidRPr="00C31C1D">
              <w:t xml:space="preserve"> of this solicitation</w:t>
            </w:r>
            <w:r>
              <w:t xml:space="preserve"> and is received in the required manner (e.g., no emails or faxes).</w:t>
            </w:r>
          </w:p>
        </w:tc>
        <w:tc>
          <w:tcPr>
            <w:tcW w:w="2484" w:type="dxa"/>
            <w:tcBorders>
              <w:bottom w:val="single" w:sz="4" w:space="0" w:color="auto"/>
            </w:tcBorders>
          </w:tcPr>
          <w:p w14:paraId="11BA90FE" w14:textId="77777777" w:rsidR="00674AE1" w:rsidRPr="00C31C1D" w:rsidRDefault="00674AE1">
            <w:pPr>
              <w:rPr>
                <w:noProof/>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Pass</w:t>
            </w:r>
            <w:r>
              <w:rPr>
                <w:noProof/>
              </w:rP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Fail</w:t>
            </w:r>
          </w:p>
        </w:tc>
      </w:tr>
      <w:tr w:rsidR="00674AE1" w:rsidRPr="00C31C1D" w14:paraId="3AACAB54" w14:textId="77777777">
        <w:tc>
          <w:tcPr>
            <w:tcW w:w="7231" w:type="dxa"/>
            <w:tcBorders>
              <w:bottom w:val="single" w:sz="4" w:space="0" w:color="auto"/>
            </w:tcBorders>
          </w:tcPr>
          <w:p w14:paraId="1E0F7626" w14:textId="77777777" w:rsidR="00674AE1" w:rsidRDefault="00674AE1">
            <w:pPr>
              <w:pStyle w:val="ListParagraph"/>
              <w:numPr>
                <w:ilvl w:val="0"/>
                <w:numId w:val="2"/>
              </w:numPr>
              <w:contextualSpacing w:val="0"/>
            </w:pPr>
            <w:r>
              <w:t>The requested CEC funding falls within the minimum and maximum range specified in the solicitation.</w:t>
            </w:r>
          </w:p>
        </w:tc>
        <w:tc>
          <w:tcPr>
            <w:tcW w:w="2484" w:type="dxa"/>
            <w:tcBorders>
              <w:bottom w:val="single" w:sz="4" w:space="0" w:color="auto"/>
            </w:tcBorders>
          </w:tcPr>
          <w:p w14:paraId="523447A0"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Fail</w:t>
            </w:r>
          </w:p>
        </w:tc>
      </w:tr>
      <w:tr w:rsidR="00674AE1" w:rsidRPr="00C31C1D" w14:paraId="1181FFE2" w14:textId="77777777">
        <w:trPr>
          <w:trHeight w:val="640"/>
        </w:trPr>
        <w:tc>
          <w:tcPr>
            <w:tcW w:w="7231" w:type="dxa"/>
          </w:tcPr>
          <w:p w14:paraId="0D358611" w14:textId="77777777" w:rsidR="00674AE1" w:rsidRDefault="00674AE1">
            <w:pPr>
              <w:pStyle w:val="ListParagraph"/>
              <w:numPr>
                <w:ilvl w:val="0"/>
                <w:numId w:val="2"/>
              </w:numPr>
              <w:contextualSpacing w:val="0"/>
            </w:pPr>
            <w:bookmarkStart w:id="232" w:name="Screen5"/>
            <w:bookmarkEnd w:id="232"/>
            <w:r w:rsidRPr="11EB547A">
              <w:rPr>
                <w:rFonts w:cs="Tahoma"/>
              </w:rPr>
              <w:t>The Applicant has provided the required authorizations and certifications</w:t>
            </w:r>
            <w:r>
              <w:rPr>
                <w:rFonts w:cs="Tahoma"/>
              </w:rPr>
              <w:t>, as described in Section III.D “Required Application Attachments”</w:t>
            </w:r>
            <w:r w:rsidRPr="11EB547A">
              <w:rPr>
                <w:rFonts w:cs="Tahoma"/>
              </w:rPr>
              <w:t>.</w:t>
            </w:r>
          </w:p>
        </w:tc>
        <w:tc>
          <w:tcPr>
            <w:tcW w:w="2484" w:type="dxa"/>
          </w:tcPr>
          <w:p w14:paraId="5964F7C4" w14:textId="77777777" w:rsidR="00674AE1" w:rsidRPr="005F374A" w:rsidRDefault="00674AE1">
            <w:pPr>
              <w:rPr>
                <w:color w:val="2B579A"/>
                <w:shd w:val="clear" w:color="auto" w:fill="E6E6E6"/>
              </w:rPr>
            </w:pPr>
            <w:r w:rsidRPr="11EB547A">
              <w:rPr>
                <w:color w:val="2B579A"/>
              </w:rPr>
              <w:fldChar w:fldCharType="begin"/>
            </w:r>
            <w:r>
              <w:instrText xml:space="preserve"> FORMCHECKBOX </w:instrText>
            </w:r>
            <w:r w:rsidR="00000000">
              <w:rPr>
                <w:color w:val="2B579A"/>
              </w:rPr>
              <w:fldChar w:fldCharType="separate"/>
            </w:r>
            <w:r w:rsidRPr="11EB547A">
              <w:rPr>
                <w:color w:val="2B579A"/>
              </w:rPr>
              <w:fldChar w:fldCharType="end"/>
            </w:r>
            <w: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Pass</w:t>
            </w:r>
            <w:r>
              <w:rPr>
                <w:noProof/>
              </w:rPr>
              <w:t xml:space="preserve">   </w:t>
            </w:r>
            <w:r w:rsidRPr="11EB547A">
              <w:rPr>
                <w:color w:val="2B579A"/>
              </w:rPr>
              <w:fldChar w:fldCharType="begin"/>
            </w:r>
            <w:r>
              <w:instrText xml:space="preserve"> FORMCHECKBOX </w:instrText>
            </w:r>
            <w:r w:rsidR="00000000">
              <w:rPr>
                <w:color w:val="2B579A"/>
              </w:rPr>
              <w:fldChar w:fldCharType="separate"/>
            </w:r>
            <w:r w:rsidRPr="11EB547A">
              <w:rPr>
                <w:color w:val="2B579A"/>
              </w:rPr>
              <w:fldChar w:fldCharType="end"/>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Fail</w:t>
            </w:r>
          </w:p>
        </w:tc>
      </w:tr>
      <w:tr w:rsidR="00674AE1" w:rsidRPr="00C31C1D" w14:paraId="668A17DA" w14:textId="77777777">
        <w:trPr>
          <w:trHeight w:val="640"/>
        </w:trPr>
        <w:tc>
          <w:tcPr>
            <w:tcW w:w="7231" w:type="dxa"/>
          </w:tcPr>
          <w:p w14:paraId="4342473C" w14:textId="77777777" w:rsidR="00674AE1" w:rsidRPr="00C31C1D" w:rsidRDefault="00674AE1">
            <w:pPr>
              <w:pStyle w:val="ListParagraph"/>
              <w:numPr>
                <w:ilvl w:val="0"/>
                <w:numId w:val="2"/>
              </w:numPr>
              <w:contextualSpacing w:val="0"/>
              <w:rPr>
                <w:noProof/>
              </w:rPr>
            </w:pPr>
            <w:bookmarkStart w:id="233" w:name="Screen6"/>
            <w:bookmarkEnd w:id="233"/>
            <w:r>
              <w:rPr>
                <w:iCs/>
                <w:snapToGrid w:val="0"/>
              </w:rPr>
              <w:t>The Applicant has not identified any sections or attachments as confidential items, per requirements in Section IV.A “Application Evaluation” and Section V.D “Confidentiality”.</w:t>
            </w:r>
          </w:p>
        </w:tc>
        <w:tc>
          <w:tcPr>
            <w:tcW w:w="2484" w:type="dxa"/>
          </w:tcPr>
          <w:p w14:paraId="60B3A33C" w14:textId="77777777" w:rsidR="00674AE1" w:rsidRPr="00C31C1D" w:rsidRDefault="00674AE1">
            <w:pPr>
              <w:rPr>
                <w:noProof/>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Pass</w:t>
            </w:r>
            <w:r>
              <w:rPr>
                <w:noProof/>
              </w:rP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Fail</w:t>
            </w:r>
          </w:p>
        </w:tc>
      </w:tr>
    </w:tbl>
    <w:p w14:paraId="5AC1E4FA" w14:textId="77777777" w:rsidR="00674AE1" w:rsidRDefault="00674AE1" w:rsidP="00674AE1">
      <w:pPr>
        <w:pStyle w:val="TableTitle"/>
      </w:pPr>
      <w:bookmarkStart w:id="234" w:name="_Toc243558591"/>
      <w:r>
        <w:t>Table 7: Technical Screening Criteria</w:t>
      </w:r>
      <w:bookmarkEnd w:id="234"/>
    </w:p>
    <w:tbl>
      <w:tblPr>
        <w:tblW w:w="9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80" w:firstRow="0" w:lastRow="0" w:firstColumn="1" w:lastColumn="0" w:noHBand="0" w:noVBand="0"/>
      </w:tblPr>
      <w:tblGrid>
        <w:gridCol w:w="7231"/>
        <w:gridCol w:w="2484"/>
      </w:tblGrid>
      <w:tr w:rsidR="00674AE1" w:rsidRPr="00C31C1D" w14:paraId="0015512A" w14:textId="77777777" w:rsidTr="005745DE">
        <w:trPr>
          <w:cantSplit/>
          <w:trHeight w:val="586"/>
          <w:tblHeader/>
        </w:trPr>
        <w:tc>
          <w:tcPr>
            <w:tcW w:w="7231" w:type="dxa"/>
            <w:shd w:val="clear" w:color="auto" w:fill="D9D9D9" w:themeFill="background1" w:themeFillShade="D9"/>
            <w:vAlign w:val="center"/>
          </w:tcPr>
          <w:p w14:paraId="5B7A4268" w14:textId="77777777" w:rsidR="00674AE1" w:rsidRPr="00847042" w:rsidRDefault="00674AE1">
            <w:pPr>
              <w:rPr>
                <w:b/>
                <w:bCs/>
              </w:rPr>
            </w:pPr>
            <w:r w:rsidRPr="00A60659">
              <w:rPr>
                <w:i/>
                <w:iCs/>
              </w:rPr>
              <w:t xml:space="preserve">The Application must pass ALL </w:t>
            </w:r>
            <w:r>
              <w:rPr>
                <w:i/>
                <w:iCs/>
              </w:rPr>
              <w:t xml:space="preserve">technical screening </w:t>
            </w:r>
            <w:r w:rsidRPr="00A60659">
              <w:rPr>
                <w:i/>
                <w:iCs/>
              </w:rPr>
              <w:t>criteria</w:t>
            </w:r>
          </w:p>
        </w:tc>
        <w:tc>
          <w:tcPr>
            <w:tcW w:w="2484" w:type="dxa"/>
            <w:shd w:val="clear" w:color="auto" w:fill="D9D9D9" w:themeFill="background1" w:themeFillShade="D9"/>
            <w:vAlign w:val="center"/>
          </w:tcPr>
          <w:p w14:paraId="7C5265B8" w14:textId="77777777" w:rsidR="00674AE1" w:rsidRPr="00C31C1D" w:rsidRDefault="00674AE1">
            <w:r w:rsidRPr="00C31C1D">
              <w:t>Pass/Fail</w:t>
            </w:r>
          </w:p>
        </w:tc>
      </w:tr>
      <w:tr w:rsidR="00674AE1" w:rsidRPr="00176ACE" w14:paraId="375CA4BD"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4CD75B8C" w14:textId="77777777" w:rsidR="00674AE1" w:rsidRPr="00F134B1" w:rsidRDefault="00674AE1" w:rsidP="00674AE1">
            <w:pPr>
              <w:pStyle w:val="ListParagraph"/>
              <w:numPr>
                <w:ilvl w:val="0"/>
                <w:numId w:val="51"/>
              </w:numPr>
              <w:contextualSpacing w:val="0"/>
            </w:pPr>
            <w:r>
              <w:t>The A</w:t>
            </w:r>
            <w:r w:rsidRPr="00883EB0">
              <w:t xml:space="preserve">pplicant is </w:t>
            </w:r>
            <w:r>
              <w:t>an eligible applicant.</w:t>
            </w:r>
            <w:r w:rsidRPr="00883EB0">
              <w:t xml:space="preserve"> </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7CDFF8E7" w14:textId="77777777" w:rsidR="00674AE1" w:rsidRPr="00176ACE" w:rsidRDefault="00674AE1">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Fail</w:t>
            </w:r>
          </w:p>
        </w:tc>
      </w:tr>
      <w:tr w:rsidR="00674AE1" w:rsidRPr="00176ACE" w14:paraId="59EFBD34"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7828B302" w14:textId="77777777" w:rsidR="00674AE1" w:rsidRDefault="00674AE1" w:rsidP="00674AE1">
            <w:pPr>
              <w:pStyle w:val="ListParagraph"/>
              <w:numPr>
                <w:ilvl w:val="0"/>
                <w:numId w:val="51"/>
              </w:numPr>
              <w:contextualSpacing w:val="0"/>
            </w:pPr>
            <w:r>
              <w:t>The proposed project meets the location and site requirements.</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4C685773"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Fail</w:t>
            </w:r>
          </w:p>
        </w:tc>
      </w:tr>
      <w:tr w:rsidR="00674AE1" w:rsidRPr="00176ACE" w14:paraId="7E25C0BF"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5D3A5958" w14:textId="77777777" w:rsidR="00674AE1" w:rsidRDefault="00674AE1" w:rsidP="00674AE1">
            <w:pPr>
              <w:pStyle w:val="ListParagraph"/>
              <w:numPr>
                <w:ilvl w:val="0"/>
                <w:numId w:val="51"/>
              </w:numPr>
              <w:contextualSpacing w:val="0"/>
            </w:pPr>
            <w:r>
              <w:t>The funding requested in the Application is for eligible technologies.</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22825C90"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Fail</w:t>
            </w:r>
          </w:p>
        </w:tc>
      </w:tr>
      <w:tr w:rsidR="00674AE1" w:rsidRPr="00176ACE" w14:paraId="2372A17F"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096067AF" w14:textId="1A41AAF1" w:rsidR="00674AE1" w:rsidRDefault="00674AE1" w:rsidP="00674AE1">
            <w:pPr>
              <w:pStyle w:val="ListParagraph"/>
              <w:numPr>
                <w:ilvl w:val="0"/>
                <w:numId w:val="51"/>
              </w:numPr>
              <w:contextualSpacing w:val="0"/>
            </w:pPr>
            <w:r>
              <w:t>If the Applicant has submitted more than one application, each application must involve either a different combination of eligible technology equipment to be installed or different project sites</w:t>
            </w:r>
            <w:r w:rsidR="002701E4">
              <w:t xml:space="preserve"> that have specifically identified distinct locations (such as address) in the applications</w:t>
            </w:r>
            <w:r>
              <w:t>.</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527667A2"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176ACE">
              <w:t>Fail</w:t>
            </w:r>
          </w:p>
        </w:tc>
      </w:tr>
      <w:tr w:rsidR="00674AE1" w:rsidRPr="00176ACE" w14:paraId="332E6910"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7FAA5156" w14:textId="77777777" w:rsidR="00674AE1" w:rsidRDefault="00674AE1" w:rsidP="00674AE1">
            <w:pPr>
              <w:pStyle w:val="ListParagraph"/>
              <w:numPr>
                <w:ilvl w:val="0"/>
                <w:numId w:val="51"/>
              </w:numPr>
              <w:contextualSpacing w:val="0"/>
            </w:pPr>
            <w:r w:rsidRPr="00705D02">
              <w:lastRenderedPageBreak/>
              <w:t xml:space="preserve">The Application </w:t>
            </w:r>
            <w:r>
              <w:t xml:space="preserve">includes Commitment Letter(s) that total at least the minimum match share requirement. </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43FF4608"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Pass</w:t>
            </w:r>
            <w:r>
              <w:rPr>
                <w:noProof/>
              </w:rP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Fail</w:t>
            </w:r>
          </w:p>
        </w:tc>
      </w:tr>
      <w:tr w:rsidR="00674AE1" w:rsidRPr="00176ACE" w14:paraId="3B0DE97A" w14:textId="77777777">
        <w:tc>
          <w:tcPr>
            <w:tcW w:w="7231" w:type="dxa"/>
            <w:tcBorders>
              <w:top w:val="single" w:sz="4" w:space="0" w:color="auto"/>
              <w:left w:val="single" w:sz="4" w:space="0" w:color="000000" w:themeColor="text1"/>
              <w:bottom w:val="single" w:sz="4" w:space="0" w:color="auto"/>
              <w:right w:val="single" w:sz="4" w:space="0" w:color="000000" w:themeColor="text1"/>
            </w:tcBorders>
          </w:tcPr>
          <w:p w14:paraId="16816195" w14:textId="292DE1BA" w:rsidR="00674AE1" w:rsidRPr="00705D02" w:rsidRDefault="00175864" w:rsidP="00674AE1">
            <w:pPr>
              <w:pStyle w:val="ListParagraph"/>
              <w:numPr>
                <w:ilvl w:val="0"/>
                <w:numId w:val="51"/>
              </w:numPr>
              <w:contextualSpacing w:val="0"/>
            </w:pPr>
            <w:r>
              <w:t>For</w:t>
            </w:r>
            <w:r w:rsidR="00CA6E8E">
              <w:t xml:space="preserve"> an</w:t>
            </w:r>
            <w:r w:rsidR="00C92C83">
              <w:t xml:space="preserve"> </w:t>
            </w:r>
            <w:proofErr w:type="gramStart"/>
            <w:r w:rsidR="00B86CCA">
              <w:t>A</w:t>
            </w:r>
            <w:r w:rsidR="00C92C83">
              <w:t>pplication</w:t>
            </w:r>
            <w:proofErr w:type="gramEnd"/>
            <w:r w:rsidR="00C92C83">
              <w:t xml:space="preserve"> </w:t>
            </w:r>
            <w:r w:rsidR="000E41CF">
              <w:t>propos</w:t>
            </w:r>
            <w:r w:rsidR="00E97ACD">
              <w:t>ing</w:t>
            </w:r>
            <w:r w:rsidR="00C92C83">
              <w:t xml:space="preserve"> </w:t>
            </w:r>
            <w:r w:rsidR="007332AF">
              <w:t xml:space="preserve">a </w:t>
            </w:r>
            <w:r w:rsidR="00C92C83">
              <w:t>BTM non-residential project or FTM project</w:t>
            </w:r>
            <w:r w:rsidR="007332AF">
              <w:t>,</w:t>
            </w:r>
            <w:r w:rsidR="00C92C83">
              <w:t xml:space="preserve"> </w:t>
            </w:r>
            <w:r w:rsidR="007332AF">
              <w:t>t</w:t>
            </w:r>
            <w:r w:rsidR="00674AE1">
              <w:t>he Application</w:t>
            </w:r>
            <w:r w:rsidR="007332AF">
              <w:t xml:space="preserve"> must</w:t>
            </w:r>
            <w:r w:rsidR="00674AE1">
              <w:t xml:space="preserve"> include documentation of verified site control for the proposed project (including any geographically distinct subprojects, if applicable).</w:t>
            </w:r>
            <w:r w:rsidR="003854EB">
              <w:t xml:space="preserve"> </w:t>
            </w:r>
            <w:r w:rsidR="003854EB" w:rsidRPr="00E54FB5">
              <w:rPr>
                <w:i/>
                <w:iCs/>
              </w:rPr>
              <w:t xml:space="preserve">Applications involving residential sites are not subject to </w:t>
            </w:r>
            <w:r w:rsidR="00E97ACD" w:rsidRPr="00E54FB5">
              <w:rPr>
                <w:i/>
                <w:iCs/>
              </w:rPr>
              <w:t>this criterion</w:t>
            </w:r>
            <w:r w:rsidR="003854EB" w:rsidRPr="00E54FB5">
              <w:rPr>
                <w:i/>
                <w:iCs/>
              </w:rPr>
              <w:t xml:space="preserve"> at the time of application submission.</w:t>
            </w:r>
          </w:p>
        </w:tc>
        <w:tc>
          <w:tcPr>
            <w:tcW w:w="2484" w:type="dxa"/>
            <w:tcBorders>
              <w:top w:val="single" w:sz="4" w:space="0" w:color="auto"/>
              <w:left w:val="single" w:sz="4" w:space="0" w:color="000000" w:themeColor="text1"/>
              <w:bottom w:val="single" w:sz="4" w:space="0" w:color="auto"/>
              <w:right w:val="single" w:sz="4" w:space="0" w:color="000000" w:themeColor="text1"/>
            </w:tcBorders>
          </w:tcPr>
          <w:p w14:paraId="7C8951A4" w14:textId="77777777" w:rsidR="00674AE1" w:rsidRPr="005F374A" w:rsidRDefault="00674AE1">
            <w:pPr>
              <w:rPr>
                <w:color w:val="2B579A"/>
                <w:shd w:val="clear" w:color="auto" w:fill="E6E6E6"/>
              </w:rPr>
            </w:pP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Pass</w:t>
            </w:r>
            <w:r>
              <w:rPr>
                <w:noProof/>
              </w:rP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00C31C1D">
              <w:rPr>
                <w:noProof/>
              </w:rPr>
              <w:t>Fail</w:t>
            </w:r>
          </w:p>
        </w:tc>
      </w:tr>
    </w:tbl>
    <w:p w14:paraId="2D9A4642" w14:textId="77777777" w:rsidR="00674AE1" w:rsidRPr="007E2818" w:rsidRDefault="00674AE1" w:rsidP="00674AE1">
      <w:pPr>
        <w:pStyle w:val="TableTitle"/>
      </w:pPr>
      <w:bookmarkStart w:id="235" w:name="_Toc243558592"/>
      <w:r w:rsidRPr="007E2818">
        <w:t>Table 8: Past Performance Screening Criteria</w:t>
      </w:r>
      <w:bookmarkEnd w:id="235"/>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7231"/>
        <w:gridCol w:w="2484"/>
      </w:tblGrid>
      <w:tr w:rsidR="00674AE1" w:rsidRPr="005F374A" w14:paraId="42496579" w14:textId="77777777">
        <w:trPr>
          <w:trHeight w:val="640"/>
        </w:trPr>
        <w:tc>
          <w:tcPr>
            <w:tcW w:w="7231" w:type="dxa"/>
          </w:tcPr>
          <w:p w14:paraId="12862BBE" w14:textId="77777777" w:rsidR="00674AE1" w:rsidRPr="00A60659" w:rsidRDefault="00674AE1">
            <w:pPr>
              <w:rPr>
                <w:i/>
                <w:iCs/>
              </w:rPr>
            </w:pPr>
            <w:r w:rsidRPr="007228D2">
              <w:t xml:space="preserve">An </w:t>
            </w:r>
            <w:r>
              <w:t>A</w:t>
            </w:r>
            <w:r w:rsidRPr="007228D2">
              <w:t>pplicant may be disqualified under this solicitation due to severe performance issues under one or more prior or active CEC</w:t>
            </w:r>
            <w:r>
              <w:t xml:space="preserve"> agreements. </w:t>
            </w:r>
            <w:r w:rsidRPr="00A60659">
              <w:rPr>
                <w:i/>
                <w:iCs/>
              </w:rPr>
              <w:t>This past performance screening criterion does not apply to applicants that do not have any active or prior agreements with the CEC.</w:t>
            </w:r>
          </w:p>
          <w:p w14:paraId="4048E2BA" w14:textId="77777777" w:rsidR="00674AE1" w:rsidRPr="0007792B" w:rsidRDefault="00674AE1">
            <w:r w:rsidRPr="0007792B">
              <w:t xml:space="preserve">The </w:t>
            </w:r>
            <w:r>
              <w:t>A</w:t>
            </w:r>
            <w:r w:rsidRPr="0007792B">
              <w:t xml:space="preserve">pplicant—defined for the purpose of this past performance screening criterion as at least one of the following: the </w:t>
            </w:r>
            <w:r>
              <w:t xml:space="preserve">non-profit, government, </w:t>
            </w:r>
            <w:r w:rsidRPr="0007792B">
              <w:t xml:space="preserve">principal investigator, or lead individual acting on behalf of themselves—received funds from the </w:t>
            </w:r>
            <w:r>
              <w:t>CEC</w:t>
            </w:r>
            <w:r w:rsidRPr="0007792B">
              <w:t xml:space="preserve"> (e.g., contract, grant, or loan) and entered into an agreement(s) with the </w:t>
            </w:r>
            <w:r>
              <w:t>CEC</w:t>
            </w:r>
            <w:r w:rsidRPr="0007792B">
              <w:t xml:space="preserve"> and demonstrated </w:t>
            </w:r>
            <w:r>
              <w:t>severe performance issues characterized by significa</w:t>
            </w:r>
            <w:r w:rsidRPr="0007792B">
              <w:t>nt negative outcomes including:</w:t>
            </w:r>
          </w:p>
          <w:p w14:paraId="472ED715" w14:textId="77777777" w:rsidR="00674AE1" w:rsidRPr="0007792B" w:rsidRDefault="00674AE1">
            <w:pPr>
              <w:pStyle w:val="ListParagraph"/>
              <w:numPr>
                <w:ilvl w:val="0"/>
                <w:numId w:val="9"/>
              </w:numPr>
              <w:contextualSpacing w:val="0"/>
            </w:pPr>
            <w:r w:rsidRPr="0007792B">
              <w:t>Significant deviation from agreement requirements</w:t>
            </w:r>
            <w:r w:rsidRPr="11EB547A">
              <w:rPr>
                <w:rFonts w:ascii="Calibri" w:eastAsia="Calibri" w:hAnsi="Calibri" w:cs="Times New Roman"/>
              </w:rPr>
              <w:t xml:space="preserve"> </w:t>
            </w:r>
            <w:r w:rsidRPr="00930C64">
              <w:t xml:space="preserve">that were caused by factors that are, or should have been, within </w:t>
            </w:r>
            <w:r>
              <w:t>applicant’s</w:t>
            </w:r>
            <w:r w:rsidRPr="00930C64">
              <w:t xml:space="preserve"> </w:t>
            </w:r>
            <w:proofErr w:type="gramStart"/>
            <w:r w:rsidRPr="00930C64">
              <w:t>control</w:t>
            </w:r>
            <w:r w:rsidRPr="0007792B">
              <w:t>;</w:t>
            </w:r>
            <w:proofErr w:type="gramEnd"/>
          </w:p>
          <w:p w14:paraId="6AFE0E7A" w14:textId="77777777" w:rsidR="00674AE1" w:rsidRPr="0007792B" w:rsidRDefault="00674AE1">
            <w:pPr>
              <w:pStyle w:val="ListParagraph"/>
              <w:numPr>
                <w:ilvl w:val="0"/>
                <w:numId w:val="9"/>
              </w:numPr>
              <w:contextualSpacing w:val="0"/>
            </w:pPr>
            <w:r w:rsidRPr="0007792B">
              <w:t xml:space="preserve">Termination with </w:t>
            </w:r>
            <w:proofErr w:type="gramStart"/>
            <w:r w:rsidRPr="0007792B">
              <w:t>cause;</w:t>
            </w:r>
            <w:proofErr w:type="gramEnd"/>
          </w:p>
          <w:p w14:paraId="2F7E53F6" w14:textId="77777777" w:rsidR="00674AE1" w:rsidRPr="0007792B" w:rsidRDefault="00674AE1">
            <w:pPr>
              <w:pStyle w:val="ListParagraph"/>
              <w:numPr>
                <w:ilvl w:val="0"/>
                <w:numId w:val="9"/>
              </w:numPr>
              <w:contextualSpacing w:val="0"/>
            </w:pPr>
            <w:r>
              <w:t xml:space="preserve">Demonstrated poor communication, poor project management, and/or inability, due to circumstances within applicant’s control or which should have been within applicant’s control, from materially completing the </w:t>
            </w:r>
            <w:proofErr w:type="gramStart"/>
            <w:r>
              <w:t>project;</w:t>
            </w:r>
            <w:proofErr w:type="gramEnd"/>
          </w:p>
          <w:p w14:paraId="1C67BEBD" w14:textId="77777777" w:rsidR="00674AE1" w:rsidRPr="0007792B" w:rsidRDefault="00674AE1">
            <w:pPr>
              <w:pStyle w:val="ListParagraph"/>
              <w:numPr>
                <w:ilvl w:val="0"/>
                <w:numId w:val="9"/>
              </w:numPr>
              <w:contextualSpacing w:val="0"/>
            </w:pPr>
            <w:r>
              <w:t>Deliverables were not submitted to the CEC or were of significantly poor quality. For example, applicant delivered poorly written reports that required significant rework by staff prior to acceptance or publication</w:t>
            </w:r>
            <w:r w:rsidRPr="0007792B">
              <w:t>; and</w:t>
            </w:r>
          </w:p>
          <w:p w14:paraId="530D1F3E" w14:textId="77777777" w:rsidR="00674AE1" w:rsidRPr="00D837CF" w:rsidRDefault="00674AE1">
            <w:pPr>
              <w:pStyle w:val="ListParagraph"/>
              <w:numPr>
                <w:ilvl w:val="0"/>
                <w:numId w:val="9"/>
              </w:numPr>
              <w:contextualSpacing w:val="0"/>
            </w:pPr>
            <w:r w:rsidRPr="004F1B5C">
              <w:t>Severe audit findings not resolved to CEC’s satisfaction. Severe audit findings may include</w:t>
            </w:r>
            <w:r>
              <w:t>,</w:t>
            </w:r>
            <w:r w:rsidRPr="004F1B5C">
              <w:t xml:space="preserve"> but </w:t>
            </w:r>
            <w:r>
              <w:t xml:space="preserve">are </w:t>
            </w:r>
            <w:r w:rsidRPr="004F1B5C">
              <w:t>not limited to</w:t>
            </w:r>
            <w:r>
              <w:t>,</w:t>
            </w:r>
            <w:r w:rsidRPr="004F1B5C">
              <w:t xml:space="preserve"> incomplete or unsatisfactory deliverable</w:t>
            </w:r>
            <w:r>
              <w:t>s,</w:t>
            </w:r>
            <w:r w:rsidRPr="004F1B5C">
              <w:t xml:space="preserve"> grant funds used </w:t>
            </w:r>
            <w:r w:rsidRPr="004F1B5C">
              <w:lastRenderedPageBreak/>
              <w:t>inappropriately (i.e., other than as represented</w:t>
            </w:r>
            <w:r>
              <w:t>)</w:t>
            </w:r>
            <w:r w:rsidRPr="004F1B5C">
              <w:t xml:space="preserve"> or questioned costs</w:t>
            </w:r>
            <w:r w:rsidRPr="0007792B">
              <w:t>.</w:t>
            </w:r>
          </w:p>
        </w:tc>
        <w:tc>
          <w:tcPr>
            <w:tcW w:w="2484" w:type="dxa"/>
          </w:tcPr>
          <w:p w14:paraId="39746B69" w14:textId="77777777" w:rsidR="00674AE1" w:rsidRPr="005F374A" w:rsidRDefault="00674AE1">
            <w:pPr>
              <w:rPr>
                <w:color w:val="2B579A"/>
                <w:shd w:val="clear" w:color="auto" w:fill="E6E6E6"/>
              </w:rPr>
            </w:pPr>
            <w:r w:rsidRPr="11EB547A">
              <w:rPr>
                <w:color w:val="2B579A"/>
              </w:rPr>
              <w:lastRenderedPageBreak/>
              <w:fldChar w:fldCharType="begin"/>
            </w:r>
            <w:r>
              <w:instrText xml:space="preserve"> FORMCHECKBOX </w:instrText>
            </w:r>
            <w:r w:rsidR="00000000">
              <w:rPr>
                <w:color w:val="2B579A"/>
              </w:rPr>
              <w:fldChar w:fldCharType="separate"/>
            </w:r>
            <w:r w:rsidRPr="11EB547A">
              <w:rPr>
                <w:color w:val="2B579A"/>
              </w:rPr>
              <w:fldChar w:fldCharType="end"/>
            </w:r>
            <w:r>
              <w:t xml:space="preserve">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11EB547A">
              <w:rPr>
                <w:noProof/>
              </w:rPr>
              <w:t xml:space="preserve">Pass  </w:t>
            </w:r>
            <w:r w:rsidRPr="005F374A">
              <w:rPr>
                <w:color w:val="2B579A"/>
                <w:shd w:val="clear" w:color="auto" w:fill="E6E6E6"/>
              </w:rPr>
              <w:fldChar w:fldCharType="begin">
                <w:ffData>
                  <w:name w:val="Check30"/>
                  <w:enabled/>
                  <w:calcOnExit w:val="0"/>
                  <w:checkBox>
                    <w:sizeAuto/>
                    <w:default w:val="0"/>
                  </w:checkBox>
                </w:ffData>
              </w:fldChar>
            </w:r>
            <w:r w:rsidRPr="005F374A">
              <w:instrText xml:space="preserve"> FORMCHECKBOX </w:instrText>
            </w:r>
            <w:r w:rsidR="00000000">
              <w:rPr>
                <w:color w:val="2B579A"/>
                <w:shd w:val="clear" w:color="auto" w:fill="E6E6E6"/>
              </w:rPr>
            </w:r>
            <w:r w:rsidR="00000000">
              <w:rPr>
                <w:color w:val="2B579A"/>
                <w:shd w:val="clear" w:color="auto" w:fill="E6E6E6"/>
              </w:rPr>
              <w:fldChar w:fldCharType="separate"/>
            </w:r>
            <w:r w:rsidRPr="005F374A">
              <w:rPr>
                <w:color w:val="2B579A"/>
                <w:shd w:val="clear" w:color="auto" w:fill="E6E6E6"/>
              </w:rPr>
              <w:fldChar w:fldCharType="end"/>
            </w:r>
            <w:r>
              <w:t xml:space="preserve"> </w:t>
            </w:r>
            <w:r w:rsidRPr="11EB547A">
              <w:rPr>
                <w:color w:val="2B579A"/>
              </w:rPr>
              <w:fldChar w:fldCharType="begin"/>
            </w:r>
            <w:r>
              <w:instrText xml:space="preserve"> FORMCHECKBOX </w:instrText>
            </w:r>
            <w:r w:rsidR="00000000">
              <w:rPr>
                <w:color w:val="2B579A"/>
              </w:rPr>
              <w:fldChar w:fldCharType="separate"/>
            </w:r>
            <w:r w:rsidRPr="11EB547A">
              <w:rPr>
                <w:color w:val="2B579A"/>
              </w:rPr>
              <w:fldChar w:fldCharType="end"/>
            </w:r>
            <w:r>
              <w:t xml:space="preserve"> </w:t>
            </w:r>
            <w:r w:rsidRPr="11EB547A">
              <w:rPr>
                <w:noProof/>
              </w:rPr>
              <w:t>Fail</w:t>
            </w:r>
          </w:p>
        </w:tc>
      </w:tr>
    </w:tbl>
    <w:p w14:paraId="25F3D35E" w14:textId="6039536B" w:rsidR="00674AE1" w:rsidRPr="00CF6DED" w:rsidRDefault="00674AE1" w:rsidP="006D6C71">
      <w:pPr>
        <w:pStyle w:val="Heading3"/>
        <w:ind w:left="0"/>
      </w:pPr>
      <w:bookmarkStart w:id="236" w:name="_Toc433981346"/>
      <w:bookmarkStart w:id="237" w:name="_Toc177403903"/>
      <w:bookmarkStart w:id="238" w:name="_Toc243558568"/>
      <w:r>
        <w:t>Phase Two: Application Scoring</w:t>
      </w:r>
      <w:bookmarkEnd w:id="236"/>
      <w:bookmarkEnd w:id="237"/>
      <w:bookmarkEnd w:id="238"/>
    </w:p>
    <w:bookmarkEnd w:id="209"/>
    <w:p w14:paraId="16008A8D" w14:textId="77777777" w:rsidR="00674AE1" w:rsidRDefault="00674AE1" w:rsidP="00674AE1">
      <w:r>
        <w:t xml:space="preserve">Each application that passes ALL Phase One Screening Criteria will be evaluated by each member of the Evaluation Committee based on the Scoring Scale and Scoring Criteria below and assigned a score by the member. </w:t>
      </w:r>
    </w:p>
    <w:p w14:paraId="2DD00F0D" w14:textId="77777777" w:rsidR="00674AE1" w:rsidRDefault="00674AE1" w:rsidP="00674AE1">
      <w:r>
        <w:t>The final score for an application will be the average of the scores assigned by all Evaluation Committee members. The Evaluation Committee will recommend awards to the highest ranked proposals (according to the final application score) among the applications eligible for funding (achieved all minimum passing Base Points scores) until available funding under this solicitation has been exhausted.</w:t>
      </w:r>
    </w:p>
    <w:p w14:paraId="21DE38AC" w14:textId="77777777" w:rsidR="00674AE1" w:rsidRDefault="00674AE1">
      <w:pPr>
        <w:pStyle w:val="Heading4"/>
        <w:numPr>
          <w:ilvl w:val="0"/>
          <w:numId w:val="77"/>
        </w:numPr>
      </w:pPr>
      <w:bookmarkStart w:id="239" w:name="_Toc243558569"/>
      <w:r>
        <w:t>Scoring Scale</w:t>
      </w:r>
      <w:bookmarkEnd w:id="239"/>
    </w:p>
    <w:p w14:paraId="6530D4E1" w14:textId="77777777" w:rsidR="00674AE1" w:rsidRDefault="00674AE1" w:rsidP="00674AE1">
      <w:r>
        <w:t xml:space="preserve">Table 9 describes the scoring scale used to assess an application relative to a scoring criterion and assign points to the application for that criterion. </w:t>
      </w:r>
    </w:p>
    <w:p w14:paraId="1D63B6FF" w14:textId="77777777" w:rsidR="00674AE1" w:rsidRPr="00FE783F" w:rsidRDefault="00674AE1" w:rsidP="00674AE1">
      <w:pPr>
        <w:pStyle w:val="TableTitle"/>
      </w:pPr>
      <w:bookmarkStart w:id="240" w:name="_Toc243558593"/>
      <w:r>
        <w:t xml:space="preserve">Table 9: </w:t>
      </w:r>
      <w:r w:rsidRPr="00086A77">
        <w:t>Scoring Scale</w:t>
      </w:r>
      <w:bookmarkEnd w:id="240"/>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5"/>
        <w:gridCol w:w="2075"/>
        <w:gridCol w:w="6120"/>
      </w:tblGrid>
      <w:tr w:rsidR="00674AE1" w:rsidRPr="00050087" w14:paraId="18872F1A" w14:textId="77777777" w:rsidTr="00A74641">
        <w:trPr>
          <w:cantSplit/>
          <w:trHeight w:val="800"/>
          <w:tblHeader/>
        </w:trPr>
        <w:tc>
          <w:tcPr>
            <w:tcW w:w="1525" w:type="dxa"/>
            <w:shd w:val="clear" w:color="auto" w:fill="D9D9D9" w:themeFill="background1" w:themeFillShade="D9"/>
            <w:vAlign w:val="center"/>
          </w:tcPr>
          <w:p w14:paraId="157026C3" w14:textId="77777777" w:rsidR="00674AE1" w:rsidRPr="00DC005E" w:rsidRDefault="00674AE1">
            <w:pPr>
              <w:jc w:val="center"/>
              <w:rPr>
                <w:b/>
                <w:bCs/>
              </w:rPr>
            </w:pPr>
            <w:r>
              <w:rPr>
                <w:b/>
                <w:bCs/>
              </w:rPr>
              <w:t xml:space="preserve">Percent of </w:t>
            </w:r>
            <w:r w:rsidRPr="0F8B8284">
              <w:rPr>
                <w:b/>
                <w:bCs/>
              </w:rPr>
              <w:t xml:space="preserve">Possible Points </w:t>
            </w:r>
          </w:p>
        </w:tc>
        <w:tc>
          <w:tcPr>
            <w:tcW w:w="2075" w:type="dxa"/>
            <w:shd w:val="clear" w:color="auto" w:fill="D9D9D9" w:themeFill="background1" w:themeFillShade="D9"/>
            <w:vAlign w:val="center"/>
          </w:tcPr>
          <w:p w14:paraId="0A8BBD51" w14:textId="77777777" w:rsidR="00674AE1" w:rsidRPr="00DC005E" w:rsidRDefault="00674AE1">
            <w:pPr>
              <w:jc w:val="center"/>
              <w:rPr>
                <w:b/>
              </w:rPr>
            </w:pPr>
            <w:r w:rsidRPr="00DC005E">
              <w:rPr>
                <w:b/>
              </w:rPr>
              <w:t>Interpretation</w:t>
            </w:r>
          </w:p>
        </w:tc>
        <w:tc>
          <w:tcPr>
            <w:tcW w:w="6120" w:type="dxa"/>
            <w:shd w:val="clear" w:color="auto" w:fill="D9D9D9" w:themeFill="background1" w:themeFillShade="D9"/>
            <w:vAlign w:val="center"/>
          </w:tcPr>
          <w:p w14:paraId="2DEA81ED" w14:textId="77777777" w:rsidR="00674AE1" w:rsidRPr="00DC005E" w:rsidRDefault="00674AE1">
            <w:pPr>
              <w:jc w:val="center"/>
              <w:rPr>
                <w:b/>
                <w:bCs/>
              </w:rPr>
            </w:pPr>
            <w:r w:rsidRPr="0F8B8284">
              <w:rPr>
                <w:b/>
                <w:bCs/>
              </w:rPr>
              <w:t>Explanation for Percentage</w:t>
            </w:r>
          </w:p>
        </w:tc>
      </w:tr>
      <w:tr w:rsidR="00674AE1" w:rsidRPr="00050087" w14:paraId="4E2D1055" w14:textId="77777777" w:rsidTr="00FE47A1">
        <w:trPr>
          <w:trHeight w:val="253"/>
        </w:trPr>
        <w:tc>
          <w:tcPr>
            <w:tcW w:w="1525" w:type="dxa"/>
            <w:vAlign w:val="center"/>
          </w:tcPr>
          <w:p w14:paraId="1526AF4C" w14:textId="77777777" w:rsidR="00674AE1" w:rsidRPr="00050087" w:rsidRDefault="00674AE1">
            <w:pPr>
              <w:jc w:val="center"/>
            </w:pPr>
            <w:r w:rsidRPr="00050087">
              <w:t>0%</w:t>
            </w:r>
          </w:p>
        </w:tc>
        <w:tc>
          <w:tcPr>
            <w:tcW w:w="2075" w:type="dxa"/>
            <w:vAlign w:val="center"/>
          </w:tcPr>
          <w:p w14:paraId="081FA897" w14:textId="77777777" w:rsidR="00674AE1" w:rsidRPr="00050087" w:rsidRDefault="00674AE1">
            <w:pPr>
              <w:jc w:val="center"/>
            </w:pPr>
            <w:r w:rsidRPr="00050087">
              <w:t>Not Responsive</w:t>
            </w:r>
          </w:p>
        </w:tc>
        <w:tc>
          <w:tcPr>
            <w:tcW w:w="6120" w:type="dxa"/>
          </w:tcPr>
          <w:p w14:paraId="41936240" w14:textId="77777777" w:rsidR="00674AE1" w:rsidRPr="00050087" w:rsidRDefault="00674AE1">
            <w:r w:rsidRPr="00050087">
              <w:t>Response does not include or fails to address the requirements being scored. The omission(s), flaw(s), or defect(s) are significant and unacceptable.</w:t>
            </w:r>
          </w:p>
        </w:tc>
      </w:tr>
      <w:tr w:rsidR="00674AE1" w:rsidRPr="00050087" w14:paraId="78EB814D" w14:textId="77777777" w:rsidTr="00FE47A1">
        <w:trPr>
          <w:trHeight w:val="253"/>
        </w:trPr>
        <w:tc>
          <w:tcPr>
            <w:tcW w:w="1525" w:type="dxa"/>
            <w:vAlign w:val="center"/>
          </w:tcPr>
          <w:p w14:paraId="31D879FA" w14:textId="77777777" w:rsidR="00674AE1" w:rsidRPr="00050087" w:rsidRDefault="00674AE1">
            <w:pPr>
              <w:jc w:val="center"/>
            </w:pPr>
            <w:r w:rsidRPr="00050087">
              <w:t>10-30%</w:t>
            </w:r>
          </w:p>
        </w:tc>
        <w:tc>
          <w:tcPr>
            <w:tcW w:w="2075" w:type="dxa"/>
            <w:vAlign w:val="center"/>
          </w:tcPr>
          <w:p w14:paraId="58CC3147" w14:textId="77777777" w:rsidR="00674AE1" w:rsidRPr="00050087" w:rsidRDefault="00674AE1">
            <w:pPr>
              <w:jc w:val="center"/>
            </w:pPr>
            <w:r w:rsidRPr="00050087">
              <w:t>Minimally Responsive</w:t>
            </w:r>
          </w:p>
        </w:tc>
        <w:tc>
          <w:tcPr>
            <w:tcW w:w="6120" w:type="dxa"/>
          </w:tcPr>
          <w:p w14:paraId="2C8B593F" w14:textId="77777777" w:rsidR="00674AE1" w:rsidRPr="00050087" w:rsidRDefault="00674AE1">
            <w:r w:rsidRPr="00050087">
              <w:t>Response minimally addresses the requirements being scored. The omission(s), flaw(s), or defect(s) are significant and unacceptable.</w:t>
            </w:r>
          </w:p>
        </w:tc>
      </w:tr>
      <w:tr w:rsidR="00674AE1" w:rsidRPr="00050087" w14:paraId="6722DB9B" w14:textId="77777777" w:rsidTr="00FE47A1">
        <w:trPr>
          <w:trHeight w:val="253"/>
        </w:trPr>
        <w:tc>
          <w:tcPr>
            <w:tcW w:w="1525" w:type="dxa"/>
            <w:vAlign w:val="center"/>
          </w:tcPr>
          <w:p w14:paraId="7DCC68BF" w14:textId="77777777" w:rsidR="00674AE1" w:rsidRPr="00050087" w:rsidRDefault="00674AE1">
            <w:pPr>
              <w:jc w:val="center"/>
            </w:pPr>
            <w:r w:rsidRPr="00050087">
              <w:t>40-60%</w:t>
            </w:r>
          </w:p>
        </w:tc>
        <w:tc>
          <w:tcPr>
            <w:tcW w:w="2075" w:type="dxa"/>
            <w:vAlign w:val="center"/>
          </w:tcPr>
          <w:p w14:paraId="25DB584E" w14:textId="77777777" w:rsidR="00674AE1" w:rsidRPr="00050087" w:rsidRDefault="00674AE1">
            <w:pPr>
              <w:jc w:val="center"/>
            </w:pPr>
            <w:r w:rsidRPr="00050087">
              <w:t>Inadequate</w:t>
            </w:r>
          </w:p>
        </w:tc>
        <w:tc>
          <w:tcPr>
            <w:tcW w:w="6120" w:type="dxa"/>
          </w:tcPr>
          <w:p w14:paraId="6AD777FC" w14:textId="77777777" w:rsidR="00674AE1" w:rsidRPr="00050087" w:rsidRDefault="00674AE1">
            <w:r w:rsidRPr="00050087">
              <w:t>Response addresses the requirements being scored, but there are one or more omissions, flaws, or defects or the requirements are addressed in such a limited way that it results in a low degree of confidence in the proposed solution.</w:t>
            </w:r>
          </w:p>
        </w:tc>
      </w:tr>
      <w:tr w:rsidR="00674AE1" w:rsidRPr="00050087" w14:paraId="025399E0" w14:textId="77777777" w:rsidTr="00FE47A1">
        <w:trPr>
          <w:trHeight w:val="253"/>
        </w:trPr>
        <w:tc>
          <w:tcPr>
            <w:tcW w:w="1525" w:type="dxa"/>
            <w:vAlign w:val="center"/>
          </w:tcPr>
          <w:p w14:paraId="3F4FBA3A" w14:textId="77777777" w:rsidR="00674AE1" w:rsidRPr="00050087" w:rsidRDefault="00674AE1">
            <w:pPr>
              <w:jc w:val="center"/>
            </w:pPr>
            <w:r w:rsidRPr="00050087">
              <w:t>70%</w:t>
            </w:r>
          </w:p>
        </w:tc>
        <w:tc>
          <w:tcPr>
            <w:tcW w:w="2075" w:type="dxa"/>
            <w:vAlign w:val="center"/>
          </w:tcPr>
          <w:p w14:paraId="70A812A4" w14:textId="77777777" w:rsidR="00674AE1" w:rsidRPr="00050087" w:rsidRDefault="00674AE1">
            <w:pPr>
              <w:jc w:val="center"/>
            </w:pPr>
            <w:r w:rsidRPr="00050087">
              <w:t>Adequate</w:t>
            </w:r>
          </w:p>
        </w:tc>
        <w:tc>
          <w:tcPr>
            <w:tcW w:w="6120" w:type="dxa"/>
          </w:tcPr>
          <w:p w14:paraId="7AE01A08" w14:textId="77777777" w:rsidR="00674AE1" w:rsidRPr="00050087" w:rsidRDefault="00674AE1">
            <w:r w:rsidRPr="00050087">
              <w:t>Response adequately addresses the requirements being scored. Any omission(s), flaw(s), or defect(s) are inconsequential and acceptable.</w:t>
            </w:r>
          </w:p>
        </w:tc>
      </w:tr>
      <w:tr w:rsidR="00674AE1" w:rsidRPr="00050087" w14:paraId="240CF5B6" w14:textId="77777777" w:rsidTr="00FE47A1">
        <w:trPr>
          <w:trHeight w:val="253"/>
        </w:trPr>
        <w:tc>
          <w:tcPr>
            <w:tcW w:w="1525" w:type="dxa"/>
            <w:vAlign w:val="center"/>
          </w:tcPr>
          <w:p w14:paraId="5C42C851" w14:textId="77777777" w:rsidR="00674AE1" w:rsidRPr="00050087" w:rsidRDefault="00674AE1">
            <w:pPr>
              <w:jc w:val="center"/>
            </w:pPr>
            <w:r>
              <w:t>75%</w:t>
            </w:r>
          </w:p>
        </w:tc>
        <w:tc>
          <w:tcPr>
            <w:tcW w:w="2075" w:type="dxa"/>
            <w:vAlign w:val="center"/>
          </w:tcPr>
          <w:p w14:paraId="090BB023" w14:textId="77777777" w:rsidR="00674AE1" w:rsidRPr="00050087" w:rsidRDefault="00674AE1">
            <w:pPr>
              <w:jc w:val="center"/>
            </w:pPr>
            <w:r>
              <w:t>Between Adequate and Good</w:t>
            </w:r>
          </w:p>
        </w:tc>
        <w:tc>
          <w:tcPr>
            <w:tcW w:w="6120" w:type="dxa"/>
          </w:tcPr>
          <w:p w14:paraId="2070D7A1" w14:textId="77777777" w:rsidR="00674AE1" w:rsidRPr="00050087" w:rsidRDefault="00674AE1">
            <w:r>
              <w:t xml:space="preserve">Response better than adequately addresses the requirements being scored. </w:t>
            </w:r>
            <w:r w:rsidRPr="00050087">
              <w:t>Any omission(s), flaw(s), or defect(s) are inconsequential and acceptable.</w:t>
            </w:r>
          </w:p>
        </w:tc>
      </w:tr>
      <w:tr w:rsidR="00674AE1" w:rsidRPr="00050087" w14:paraId="19F47E90" w14:textId="77777777" w:rsidTr="00FE47A1">
        <w:trPr>
          <w:trHeight w:val="253"/>
        </w:trPr>
        <w:tc>
          <w:tcPr>
            <w:tcW w:w="1525" w:type="dxa"/>
            <w:vAlign w:val="center"/>
          </w:tcPr>
          <w:p w14:paraId="203AFFC4" w14:textId="77777777" w:rsidR="00674AE1" w:rsidRPr="00050087" w:rsidRDefault="00674AE1">
            <w:pPr>
              <w:jc w:val="center"/>
            </w:pPr>
            <w:r w:rsidRPr="00050087">
              <w:t>80%</w:t>
            </w:r>
          </w:p>
        </w:tc>
        <w:tc>
          <w:tcPr>
            <w:tcW w:w="2075" w:type="dxa"/>
            <w:vAlign w:val="center"/>
          </w:tcPr>
          <w:p w14:paraId="1272C1F8" w14:textId="77777777" w:rsidR="00674AE1" w:rsidRPr="00050087" w:rsidRDefault="00674AE1">
            <w:pPr>
              <w:jc w:val="center"/>
            </w:pPr>
            <w:r w:rsidRPr="00050087">
              <w:t>Good</w:t>
            </w:r>
          </w:p>
        </w:tc>
        <w:tc>
          <w:tcPr>
            <w:tcW w:w="6120" w:type="dxa"/>
          </w:tcPr>
          <w:p w14:paraId="578810AC" w14:textId="77777777" w:rsidR="00674AE1" w:rsidRPr="00050087" w:rsidRDefault="00674AE1">
            <w:r w:rsidRPr="00050087">
              <w:t xml:space="preserve">Response fully addresses the requirements being scored with a good degree of confidence in the </w:t>
            </w:r>
            <w:r w:rsidRPr="00050087">
              <w:lastRenderedPageBreak/>
              <w:t>applicant’s response or proposed solution. No identified omission(s), flaw(s), or defect(s). Any identified weaknesses are minimal, inconsequential, and acceptable.</w:t>
            </w:r>
          </w:p>
        </w:tc>
      </w:tr>
      <w:tr w:rsidR="00674AE1" w:rsidRPr="00050087" w14:paraId="11553FB9" w14:textId="77777777" w:rsidTr="00FE47A1">
        <w:trPr>
          <w:trHeight w:val="253"/>
        </w:trPr>
        <w:tc>
          <w:tcPr>
            <w:tcW w:w="1525" w:type="dxa"/>
            <w:vAlign w:val="center"/>
          </w:tcPr>
          <w:p w14:paraId="53A81940" w14:textId="77777777" w:rsidR="00674AE1" w:rsidRPr="00050087" w:rsidRDefault="00674AE1">
            <w:pPr>
              <w:jc w:val="center"/>
            </w:pPr>
            <w:r>
              <w:t>85%</w:t>
            </w:r>
          </w:p>
        </w:tc>
        <w:tc>
          <w:tcPr>
            <w:tcW w:w="2075" w:type="dxa"/>
            <w:vAlign w:val="center"/>
          </w:tcPr>
          <w:p w14:paraId="72DD9C44" w14:textId="77777777" w:rsidR="00674AE1" w:rsidRPr="00050087" w:rsidRDefault="00674AE1">
            <w:pPr>
              <w:jc w:val="center"/>
            </w:pPr>
            <w:r>
              <w:t>Between Good and Excellent</w:t>
            </w:r>
          </w:p>
        </w:tc>
        <w:tc>
          <w:tcPr>
            <w:tcW w:w="6120" w:type="dxa"/>
          </w:tcPr>
          <w:p w14:paraId="3AC0CBBF" w14:textId="77777777" w:rsidR="00674AE1" w:rsidRPr="00050087" w:rsidRDefault="00674AE1">
            <w:r w:rsidRPr="00050087">
              <w:t xml:space="preserve">Response fully addresses the requirements being scored with a </w:t>
            </w:r>
            <w:r>
              <w:t>better than good</w:t>
            </w:r>
            <w:r w:rsidRPr="00050087">
              <w:t xml:space="preserve"> degree of confidence in the applicant’s response or proposed solution</w:t>
            </w:r>
            <w:r>
              <w:t>.</w:t>
            </w:r>
            <w:r w:rsidRPr="00050087">
              <w:t xml:space="preserve"> No identified omission(s), flaw(s), or defect(s). Any identified weaknesses are minimal, inconsequential, and acceptable.</w:t>
            </w:r>
          </w:p>
        </w:tc>
      </w:tr>
      <w:tr w:rsidR="00674AE1" w:rsidRPr="00050087" w14:paraId="3B9AACF3" w14:textId="77777777" w:rsidTr="00FE47A1">
        <w:trPr>
          <w:trHeight w:val="253"/>
        </w:trPr>
        <w:tc>
          <w:tcPr>
            <w:tcW w:w="1525" w:type="dxa"/>
            <w:vAlign w:val="center"/>
          </w:tcPr>
          <w:p w14:paraId="0E7A4DD0" w14:textId="77777777" w:rsidR="00674AE1" w:rsidRPr="00050087" w:rsidRDefault="00674AE1">
            <w:pPr>
              <w:jc w:val="center"/>
            </w:pPr>
            <w:r w:rsidRPr="00050087">
              <w:t>90%</w:t>
            </w:r>
          </w:p>
        </w:tc>
        <w:tc>
          <w:tcPr>
            <w:tcW w:w="2075" w:type="dxa"/>
            <w:vAlign w:val="center"/>
          </w:tcPr>
          <w:p w14:paraId="0507E17C" w14:textId="77777777" w:rsidR="00674AE1" w:rsidRPr="00050087" w:rsidRDefault="00674AE1">
            <w:pPr>
              <w:jc w:val="center"/>
            </w:pPr>
            <w:r w:rsidRPr="00050087">
              <w:t>Excellent</w:t>
            </w:r>
          </w:p>
        </w:tc>
        <w:tc>
          <w:tcPr>
            <w:tcW w:w="6120" w:type="dxa"/>
          </w:tcPr>
          <w:p w14:paraId="1A61F903" w14:textId="77777777" w:rsidR="00674AE1" w:rsidRPr="00050087" w:rsidRDefault="00674AE1">
            <w:r w:rsidRPr="00050087">
              <w:t>Response fully addresses the requirements being scored with a high degree of confidence in the applicant’s response or proposed solution. Applicant offers one or more enhancing features, methods or approaches exceeding basic expectations.</w:t>
            </w:r>
          </w:p>
        </w:tc>
      </w:tr>
      <w:tr w:rsidR="00674AE1" w:rsidRPr="00050087" w14:paraId="5287D4AF" w14:textId="77777777" w:rsidTr="00FE47A1">
        <w:trPr>
          <w:trHeight w:val="253"/>
        </w:trPr>
        <w:tc>
          <w:tcPr>
            <w:tcW w:w="1525" w:type="dxa"/>
            <w:vAlign w:val="center"/>
          </w:tcPr>
          <w:p w14:paraId="37E9BD58" w14:textId="77777777" w:rsidR="00674AE1" w:rsidRPr="00050087" w:rsidRDefault="00674AE1">
            <w:pPr>
              <w:jc w:val="center"/>
            </w:pPr>
            <w:r>
              <w:t>95%</w:t>
            </w:r>
          </w:p>
        </w:tc>
        <w:tc>
          <w:tcPr>
            <w:tcW w:w="2075" w:type="dxa"/>
            <w:vAlign w:val="center"/>
          </w:tcPr>
          <w:p w14:paraId="1D11B55C" w14:textId="77777777" w:rsidR="00674AE1" w:rsidRPr="00050087" w:rsidRDefault="00674AE1">
            <w:pPr>
              <w:jc w:val="center"/>
            </w:pPr>
            <w:r>
              <w:t>Between Excellent and Exceptional</w:t>
            </w:r>
          </w:p>
        </w:tc>
        <w:tc>
          <w:tcPr>
            <w:tcW w:w="6120" w:type="dxa"/>
          </w:tcPr>
          <w:p w14:paraId="4B673C79" w14:textId="77777777" w:rsidR="00674AE1" w:rsidRPr="00050087" w:rsidRDefault="00674AE1">
            <w:r w:rsidRPr="00050087">
              <w:t xml:space="preserve">Response fully addresses the requirements being scored with a </w:t>
            </w:r>
            <w:r>
              <w:t>better than excellent</w:t>
            </w:r>
            <w:r w:rsidRPr="00050087">
              <w:t xml:space="preserve"> degree of confidence in the applicant’s response or proposed solution. Applicant offers one or more enhancing features, methods or approaches exceeding basic expectations.</w:t>
            </w:r>
          </w:p>
        </w:tc>
      </w:tr>
      <w:tr w:rsidR="00674AE1" w:rsidRPr="00050087" w14:paraId="162233B7" w14:textId="77777777" w:rsidTr="00FE47A1">
        <w:trPr>
          <w:trHeight w:val="253"/>
        </w:trPr>
        <w:tc>
          <w:tcPr>
            <w:tcW w:w="1525" w:type="dxa"/>
            <w:vAlign w:val="center"/>
          </w:tcPr>
          <w:p w14:paraId="3FF7188A" w14:textId="77777777" w:rsidR="00674AE1" w:rsidRPr="00050087" w:rsidRDefault="00674AE1">
            <w:pPr>
              <w:jc w:val="center"/>
            </w:pPr>
            <w:r w:rsidRPr="00050087">
              <w:t>100%</w:t>
            </w:r>
          </w:p>
        </w:tc>
        <w:tc>
          <w:tcPr>
            <w:tcW w:w="2075" w:type="dxa"/>
            <w:vAlign w:val="center"/>
          </w:tcPr>
          <w:p w14:paraId="05752D3E" w14:textId="77777777" w:rsidR="00674AE1" w:rsidRPr="00050087" w:rsidRDefault="00674AE1">
            <w:pPr>
              <w:jc w:val="center"/>
            </w:pPr>
            <w:r w:rsidRPr="00050087">
              <w:t>Exceptional</w:t>
            </w:r>
          </w:p>
        </w:tc>
        <w:tc>
          <w:tcPr>
            <w:tcW w:w="6120" w:type="dxa"/>
          </w:tcPr>
          <w:p w14:paraId="7B556575" w14:textId="77777777" w:rsidR="00674AE1" w:rsidRPr="00050087" w:rsidRDefault="00674AE1">
            <w:r w:rsidRPr="00050087">
              <w:t>All requirements are addressed with the highest degree of confidence in the applicant’s response or proposed solution</w:t>
            </w:r>
            <w:r>
              <w:t>.</w:t>
            </w:r>
            <w:r w:rsidRPr="00050087">
              <w:t xml:space="preserve"> The response exceeds the requirements in providing multiple enhancing features, a creative approach, or an exceptional solution.</w:t>
            </w:r>
          </w:p>
        </w:tc>
      </w:tr>
    </w:tbl>
    <w:p w14:paraId="3926B0D9" w14:textId="77777777" w:rsidR="00674AE1" w:rsidRDefault="00674AE1" w:rsidP="00674AE1"/>
    <w:p w14:paraId="1C5B459B" w14:textId="77777777" w:rsidR="00674AE1" w:rsidRDefault="00674AE1">
      <w:pPr>
        <w:pStyle w:val="Heading4"/>
        <w:numPr>
          <w:ilvl w:val="0"/>
          <w:numId w:val="77"/>
        </w:numPr>
      </w:pPr>
      <w:bookmarkStart w:id="241" w:name="_Toc243558570"/>
      <w:bookmarkEnd w:id="197"/>
      <w:bookmarkEnd w:id="198"/>
      <w:bookmarkEnd w:id="199"/>
      <w:r>
        <w:t>Scoring Criteria</w:t>
      </w:r>
      <w:bookmarkEnd w:id="241"/>
    </w:p>
    <w:p w14:paraId="748A1DCD" w14:textId="2F65A039" w:rsidR="00674AE1" w:rsidRDefault="00674AE1" w:rsidP="00674AE1">
      <w:r>
        <w:t>Table 10 describes each scoring criteri</w:t>
      </w:r>
      <w:r w:rsidR="002311E2">
        <w:t>on</w:t>
      </w:r>
      <w:r>
        <w:t xml:space="preserve"> (and sub-criteria) evaluated for assessing Base and Preference Points. </w:t>
      </w:r>
      <w:r w:rsidRPr="7E370D1D">
        <w:rPr>
          <w:b/>
          <w:bCs/>
        </w:rPr>
        <w:t xml:space="preserve">The Project </w:t>
      </w:r>
      <w:r w:rsidRPr="009F7726">
        <w:rPr>
          <w:b/>
        </w:rPr>
        <w:t>Narrative (Attachment 02)</w:t>
      </w:r>
      <w:r>
        <w:rPr>
          <w:b/>
          <w:bCs/>
        </w:rPr>
        <w:t xml:space="preserve"> </w:t>
      </w:r>
      <w:r w:rsidRPr="7E370D1D">
        <w:rPr>
          <w:b/>
          <w:bCs/>
        </w:rPr>
        <w:t xml:space="preserve">must respond to each sub-criterion, unless otherwise indicated. </w:t>
      </w:r>
      <w:r w:rsidRPr="00252A21">
        <w:t>The responses must directly relate to the solicitation requirements, as stated in this solicitation.</w:t>
      </w:r>
    </w:p>
    <w:p w14:paraId="71A64126" w14:textId="68C07841" w:rsidR="00674AE1" w:rsidRDefault="00674AE1" w:rsidP="00674AE1">
      <w:r>
        <w:t xml:space="preserve">Each scoring criterion has an assigned number of possible points and is divided into multiple sub-criteria. The sub-criteria are not equally weighted. There are two categories of scoring criteria: Five Base Points scoring criteria and four Preference Points scoring criteria. Total maximum Base Points that an applicant can achieve are 100. Total maximum Preference Points that an applicant can achieve are </w:t>
      </w:r>
      <w:r w:rsidR="00791343">
        <w:t>25</w:t>
      </w:r>
      <w:r>
        <w:t>.</w:t>
      </w:r>
    </w:p>
    <w:p w14:paraId="121E3C6E" w14:textId="77777777" w:rsidR="00674AE1" w:rsidRDefault="00674AE1" w:rsidP="00674AE1">
      <w:r>
        <w:lastRenderedPageBreak/>
        <w:t xml:space="preserve">The minimum Base Points passing score refers to the threshold an applicant must achieve to remain eligible for an award. Specifically, the applicant must earn 1) at least 70% of the total possible points for each of criterion 1, criterion 2 and criterion 3; and 2) at least 70% of the total possible maximum points across all criteria (70 of 100 possible points) for Base Points. Failure to meet this score disqualifies the application. </w:t>
      </w:r>
    </w:p>
    <w:p w14:paraId="2D00F18C" w14:textId="77777777" w:rsidR="00674AE1" w:rsidRPr="005C6952" w:rsidRDefault="00674AE1" w:rsidP="00674AE1">
      <w:r>
        <w:t>An application that achieves all minimum Base Points passing scores will also be evaluated for Preference Points as applicable.</w:t>
      </w:r>
    </w:p>
    <w:p w14:paraId="183F5A6F" w14:textId="77777777" w:rsidR="00674AE1" w:rsidRPr="005C6952" w:rsidRDefault="00674AE1" w:rsidP="00674AE1">
      <w:r>
        <w:t>The application will be evaluated on each of the following criteria (and sub-criteria) described in Table 10.</w:t>
      </w:r>
    </w:p>
    <w:p w14:paraId="517D0E3E" w14:textId="77777777" w:rsidR="00674AE1" w:rsidRPr="00955858" w:rsidRDefault="00674AE1" w:rsidP="00674AE1">
      <w:pPr>
        <w:pStyle w:val="TableTitle"/>
      </w:pPr>
      <w:bookmarkStart w:id="242" w:name="_Toc243558594"/>
      <w:r>
        <w:t>Table 10: Scoring</w:t>
      </w:r>
      <w:r w:rsidRPr="00FE2591">
        <w:t xml:space="preserve"> Criteria</w:t>
      </w:r>
      <w:bookmarkEnd w:id="242"/>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Formula for ratio of Direct Costs to Indirects Costs"/>
        <w:tblDescription w:val="The score for this criterion is determined by taking the total direct labor and divide it by the sum of total direct labor, total direct fringe, total indirect, and total profit."/>
      </w:tblPr>
      <w:tblGrid>
        <w:gridCol w:w="8362"/>
        <w:gridCol w:w="1342"/>
      </w:tblGrid>
      <w:tr w:rsidR="00674AE1" w:rsidRPr="00616F23" w14:paraId="41507C0B" w14:textId="77777777">
        <w:trPr>
          <w:trHeight w:val="550"/>
          <w:tblHeader/>
        </w:trPr>
        <w:tc>
          <w:tcPr>
            <w:tcW w:w="8362" w:type="dxa"/>
            <w:shd w:val="clear" w:color="auto" w:fill="D9D9D9" w:themeFill="background1" w:themeFillShade="D9"/>
            <w:vAlign w:val="bottom"/>
          </w:tcPr>
          <w:p w14:paraId="45984A06" w14:textId="77777777" w:rsidR="00674AE1" w:rsidRPr="00DC005E" w:rsidRDefault="00674AE1">
            <w:pPr>
              <w:jc w:val="center"/>
              <w:rPr>
                <w:b/>
                <w:i/>
                <w:sz w:val="20"/>
              </w:rPr>
            </w:pPr>
            <w:r>
              <w:rPr>
                <w:b/>
              </w:rPr>
              <w:t xml:space="preserve">Base Points Scoring </w:t>
            </w:r>
            <w:r w:rsidRPr="00DC005E">
              <w:rPr>
                <w:b/>
              </w:rPr>
              <w:t>Criteria</w:t>
            </w:r>
          </w:p>
        </w:tc>
        <w:tc>
          <w:tcPr>
            <w:tcW w:w="1342" w:type="dxa"/>
            <w:shd w:val="clear" w:color="auto" w:fill="D9D9D9" w:themeFill="background1" w:themeFillShade="D9"/>
            <w:vAlign w:val="center"/>
          </w:tcPr>
          <w:p w14:paraId="7E5C986D" w14:textId="77777777" w:rsidR="00674AE1" w:rsidRPr="00DC005E" w:rsidRDefault="00674AE1">
            <w:pPr>
              <w:jc w:val="center"/>
              <w:rPr>
                <w:b/>
              </w:rPr>
            </w:pPr>
            <w:r w:rsidRPr="00DC005E">
              <w:rPr>
                <w:b/>
              </w:rPr>
              <w:t>Possible Points</w:t>
            </w:r>
          </w:p>
        </w:tc>
      </w:tr>
      <w:tr w:rsidR="00674AE1" w:rsidRPr="00616F23" w14:paraId="246B2337" w14:textId="77777777">
        <w:tc>
          <w:tcPr>
            <w:tcW w:w="8362" w:type="dxa"/>
          </w:tcPr>
          <w:p w14:paraId="47B381F2" w14:textId="678DE982" w:rsidR="00674AE1" w:rsidRPr="00FD3F52" w:rsidRDefault="00674AE1">
            <w:pPr>
              <w:ind w:left="109"/>
              <w:rPr>
                <w:b/>
              </w:rPr>
            </w:pPr>
            <w:r w:rsidRPr="00FD3F52">
              <w:rPr>
                <w:b/>
              </w:rPr>
              <w:t>1. Contribution to Reliability</w:t>
            </w:r>
            <w:r>
              <w:rPr>
                <w:b/>
              </w:rPr>
              <w:t xml:space="preserve"> and Other Benefits</w:t>
            </w:r>
          </w:p>
          <w:p w14:paraId="4C8CF37C" w14:textId="3AD255BE" w:rsidR="00674AE1" w:rsidRDefault="00674AE1" w:rsidP="00674AE1">
            <w:pPr>
              <w:pStyle w:val="ListParagraph"/>
              <w:numPr>
                <w:ilvl w:val="2"/>
                <w:numId w:val="55"/>
              </w:numPr>
              <w:ind w:left="1080"/>
              <w:contextualSpacing w:val="0"/>
            </w:pPr>
            <w:r>
              <w:t>The amount of</w:t>
            </w:r>
            <w:r w:rsidRPr="00955858">
              <w:t xml:space="preserve"> </w:t>
            </w:r>
            <w:r>
              <w:t>nominated capacity and duration (hours) that will be committed during program hours (and beyond) to improve grid reliability in accordance with the</w:t>
            </w:r>
            <w:r w:rsidDel="000A4CE9">
              <w:t xml:space="preserve"> </w:t>
            </w:r>
            <w:r>
              <w:t>proposed performance pathway</w:t>
            </w:r>
            <w:r w:rsidRPr="00F76608">
              <w:t>.</w:t>
            </w:r>
          </w:p>
          <w:p w14:paraId="5665BC54" w14:textId="77777777" w:rsidR="00674AE1" w:rsidRDefault="00674AE1" w:rsidP="00674AE1">
            <w:pPr>
              <w:pStyle w:val="ListParagraph"/>
              <w:numPr>
                <w:ilvl w:val="2"/>
                <w:numId w:val="55"/>
              </w:numPr>
              <w:ind w:left="1080"/>
              <w:contextualSpacing w:val="0"/>
            </w:pPr>
            <w:r>
              <w:t>The project’s expected lifespan and the extent to which the project’s committed capacity and duration can be sustained over its lifespan.</w:t>
            </w:r>
          </w:p>
          <w:p w14:paraId="17F6CC04" w14:textId="77777777" w:rsidR="00674AE1" w:rsidRDefault="00674AE1" w:rsidP="00674AE1">
            <w:pPr>
              <w:pStyle w:val="ListParagraph"/>
              <w:numPr>
                <w:ilvl w:val="2"/>
                <w:numId w:val="55"/>
              </w:numPr>
              <w:ind w:left="1080"/>
              <w:contextualSpacing w:val="0"/>
            </w:pPr>
            <w:r>
              <w:t>Degree to which the application addresses the following criteria in applicable attachments such as the Project Narrative (Attachment 02), Scope of Work (Attachment 04), and/or M&amp;V Plan (Attachment 10):</w:t>
            </w:r>
          </w:p>
          <w:p w14:paraId="71FD85B3" w14:textId="1A6FA8A8" w:rsidR="00674AE1" w:rsidRDefault="00674AE1" w:rsidP="00674AE1">
            <w:pPr>
              <w:pStyle w:val="ListParagraph"/>
              <w:numPr>
                <w:ilvl w:val="0"/>
                <w:numId w:val="56"/>
              </w:numPr>
              <w:ind w:left="1680" w:hanging="180"/>
              <w:contextualSpacing w:val="0"/>
            </w:pPr>
            <w:r w:rsidRPr="4BF39F9E">
              <w:t xml:space="preserve">Describes </w:t>
            </w:r>
            <w:r>
              <w:t xml:space="preserve">(using quantitative and qualitative supporting details) </w:t>
            </w:r>
            <w:r w:rsidRPr="4BF39F9E">
              <w:t>why the proposed project is needed</w:t>
            </w:r>
            <w:r w:rsidR="005871DF">
              <w:t>.</w:t>
            </w:r>
            <w:r w:rsidRPr="4BF39F9E">
              <w:t xml:space="preserve"> </w:t>
            </w:r>
          </w:p>
          <w:p w14:paraId="25FF1279" w14:textId="77777777" w:rsidR="00674AE1" w:rsidRDefault="00674AE1" w:rsidP="00674AE1">
            <w:pPr>
              <w:pStyle w:val="ListParagraph"/>
              <w:numPr>
                <w:ilvl w:val="0"/>
                <w:numId w:val="56"/>
              </w:numPr>
              <w:ind w:left="1680" w:hanging="180"/>
              <w:contextualSpacing w:val="0"/>
            </w:pPr>
            <w:r>
              <w:t xml:space="preserve">Describes (using quantitative and qualitative supporting details) the non-reliability </w:t>
            </w:r>
            <w:r w:rsidRPr="4BF39F9E">
              <w:t>benefits that will result</w:t>
            </w:r>
            <w:r>
              <w:t xml:space="preserve"> from the project</w:t>
            </w:r>
            <w:r w:rsidRPr="4BF39F9E">
              <w:t xml:space="preserve">, such as </w:t>
            </w:r>
            <w:r>
              <w:t xml:space="preserve">benefits to the local </w:t>
            </w:r>
            <w:r w:rsidRPr="4BF39F9E">
              <w:t>community, workforce training, and/or climate benefits</w:t>
            </w:r>
            <w:r>
              <w:t xml:space="preserve"> (such as mitigating potential adverse impacts of multiple climate hazards – extreme heat, drought, flooding, etc.).</w:t>
            </w:r>
          </w:p>
          <w:p w14:paraId="45747BE8" w14:textId="77777777" w:rsidR="00674AE1" w:rsidRDefault="00674AE1" w:rsidP="00674AE1">
            <w:pPr>
              <w:pStyle w:val="ListParagraph"/>
              <w:numPr>
                <w:ilvl w:val="0"/>
                <w:numId w:val="56"/>
              </w:numPr>
              <w:ind w:left="1680" w:hanging="180"/>
              <w:contextualSpacing w:val="0"/>
            </w:pPr>
            <w:r>
              <w:t>Explains and justifies the selected performance pathway and demonstrates the above capacity and duration estimates are credible and achievable.</w:t>
            </w:r>
          </w:p>
          <w:p w14:paraId="35551C77" w14:textId="0C4784BC" w:rsidR="00B55BA1" w:rsidRPr="00B55BA1" w:rsidRDefault="00B55BA1" w:rsidP="00B55BA1">
            <w:pPr>
              <w:pStyle w:val="ListParagraph"/>
              <w:numPr>
                <w:ilvl w:val="0"/>
                <w:numId w:val="56"/>
              </w:numPr>
              <w:ind w:left="1680" w:hanging="180"/>
              <w:contextualSpacing w:val="0"/>
            </w:pPr>
            <w:r w:rsidRPr="00B55BA1">
              <w:t xml:space="preserve">Describes a plan to meet the specific M&amp;V Plan data requirements detailed in the Data Sharing Agreement (Attachment 15c) and other data identified by the applicant </w:t>
            </w:r>
            <w:r w:rsidRPr="00B55BA1">
              <w:lastRenderedPageBreak/>
              <w:t>necessary to verify the project’s ability to provide the nominated capacity for its full duration.</w:t>
            </w:r>
          </w:p>
          <w:p w14:paraId="57FE9C7A" w14:textId="77777777" w:rsidR="00674AE1" w:rsidRDefault="00674AE1" w:rsidP="00674AE1">
            <w:pPr>
              <w:pStyle w:val="ListParagraph"/>
              <w:numPr>
                <w:ilvl w:val="0"/>
                <w:numId w:val="56"/>
              </w:numPr>
              <w:ind w:left="1680" w:hanging="180"/>
              <w:contextualSpacing w:val="0"/>
            </w:pPr>
            <w:r>
              <w:t>Describes a plan to meet applicable performance pathway data requirements and explains how demonstrated capacity will be calculated.</w:t>
            </w:r>
          </w:p>
          <w:p w14:paraId="5DC5DDD1" w14:textId="77777777" w:rsidR="00674AE1" w:rsidRPr="00073F45" w:rsidRDefault="00674AE1" w:rsidP="00674AE1">
            <w:pPr>
              <w:pStyle w:val="ListParagraph"/>
              <w:numPr>
                <w:ilvl w:val="0"/>
                <w:numId w:val="56"/>
              </w:numPr>
              <w:ind w:left="1680" w:hanging="180"/>
              <w:contextualSpacing w:val="0"/>
            </w:pPr>
            <w:r>
              <w:t>Describes a plan for quality control of relevant data streams to be collected or calculated.</w:t>
            </w:r>
            <w:r w:rsidRPr="005239AB">
              <w:t xml:space="preserve"> </w:t>
            </w:r>
          </w:p>
        </w:tc>
        <w:tc>
          <w:tcPr>
            <w:tcW w:w="1342" w:type="dxa"/>
          </w:tcPr>
          <w:p w14:paraId="0ADB918A" w14:textId="77777777" w:rsidR="00674AE1" w:rsidRPr="00616F23" w:rsidRDefault="00674AE1">
            <w:pPr>
              <w:jc w:val="center"/>
            </w:pPr>
            <w:r>
              <w:lastRenderedPageBreak/>
              <w:t>25</w:t>
            </w:r>
          </w:p>
        </w:tc>
      </w:tr>
      <w:tr w:rsidR="00674AE1" w:rsidRPr="00616F23" w14:paraId="153C8C69" w14:textId="77777777">
        <w:tc>
          <w:tcPr>
            <w:tcW w:w="8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32C4C8" w14:textId="77777777" w:rsidR="00674AE1" w:rsidRPr="00E053DE" w:rsidDel="007E4008" w:rsidRDefault="00674AE1">
            <w:pPr>
              <w:rPr>
                <w:color w:val="0070C0"/>
              </w:rPr>
            </w:pPr>
            <w:r>
              <w:t>Criterion 1 total score is 25 points. The m</w:t>
            </w:r>
            <w:r w:rsidRPr="00616F23">
              <w:t xml:space="preserve">inimum Passing Score </w:t>
            </w:r>
            <w:r>
              <w:t xml:space="preserve">(70%) for this criterion is </w:t>
            </w:r>
            <w:r>
              <w:rPr>
                <w:i/>
                <w:u w:val="single"/>
              </w:rPr>
              <w:t>17.5</w:t>
            </w:r>
            <w:r w:rsidRPr="0F8B8284">
              <w:rPr>
                <w:i/>
                <w:iCs/>
                <w:u w:val="single"/>
              </w:rPr>
              <w:t xml:space="preserve"> points.</w:t>
            </w:r>
          </w:p>
        </w:tc>
        <w:tc>
          <w:tcPr>
            <w:tcW w:w="1342" w:type="dxa"/>
            <w:tcBorders>
              <w:top w:val="single" w:sz="4" w:space="0" w:color="auto"/>
              <w:left w:val="single" w:sz="4" w:space="0" w:color="auto"/>
              <w:bottom w:val="single" w:sz="4" w:space="0" w:color="auto"/>
              <w:right w:val="single" w:sz="4" w:space="0" w:color="auto"/>
            </w:tcBorders>
          </w:tcPr>
          <w:p w14:paraId="5FB3F14A" w14:textId="77777777" w:rsidR="00674AE1" w:rsidRPr="00616F23" w:rsidDel="007225F9" w:rsidRDefault="00674AE1">
            <w:pPr>
              <w:jc w:val="center"/>
            </w:pPr>
          </w:p>
        </w:tc>
      </w:tr>
      <w:tr w:rsidR="00674AE1" w:rsidRPr="00616F23" w14:paraId="7766AF78" w14:textId="77777777">
        <w:trPr>
          <w:trHeight w:val="1529"/>
        </w:trPr>
        <w:tc>
          <w:tcPr>
            <w:tcW w:w="8362" w:type="dxa"/>
            <w:tcBorders>
              <w:top w:val="single" w:sz="4" w:space="0" w:color="auto"/>
              <w:left w:val="single" w:sz="4" w:space="0" w:color="auto"/>
              <w:bottom w:val="single" w:sz="4" w:space="0" w:color="auto"/>
              <w:right w:val="single" w:sz="4" w:space="0" w:color="auto"/>
            </w:tcBorders>
          </w:tcPr>
          <w:p w14:paraId="4EE35A88" w14:textId="77777777" w:rsidR="00674AE1" w:rsidRPr="00FD3F52" w:rsidRDefault="00674AE1">
            <w:pPr>
              <w:ind w:left="109"/>
              <w:rPr>
                <w:b/>
              </w:rPr>
            </w:pPr>
            <w:r>
              <w:rPr>
                <w:b/>
              </w:rPr>
              <w:t>2</w:t>
            </w:r>
            <w:r w:rsidRPr="00FD3F52">
              <w:rPr>
                <w:b/>
              </w:rPr>
              <w:t xml:space="preserve">. Project </w:t>
            </w:r>
            <w:r>
              <w:rPr>
                <w:b/>
              </w:rPr>
              <w:t>Timeline</w:t>
            </w:r>
            <w:r w:rsidRPr="00FD3F52">
              <w:rPr>
                <w:b/>
              </w:rPr>
              <w:t xml:space="preserve"> and Management</w:t>
            </w:r>
            <w:r>
              <w:rPr>
                <w:b/>
              </w:rPr>
              <w:t xml:space="preserve"> </w:t>
            </w:r>
          </w:p>
          <w:p w14:paraId="0314EAB4" w14:textId="77777777" w:rsidR="00674AE1" w:rsidRDefault="00674AE1">
            <w:r>
              <w:t xml:space="preserve">Degree to which the application: </w:t>
            </w:r>
          </w:p>
          <w:p w14:paraId="547C9FF4" w14:textId="3050122A" w:rsidR="00674AE1" w:rsidRPr="005B4296" w:rsidRDefault="00674AE1">
            <w:r>
              <w:t xml:space="preserve">Addresses the following in attachments such as the Project Narrative (Attachment 02), Project Team Form (Attachment 03), and </w:t>
            </w:r>
            <w:r w:rsidR="000843AD">
              <w:t xml:space="preserve">Current and </w:t>
            </w:r>
            <w:r>
              <w:t>Past Projects Information (Attachment 08):</w:t>
            </w:r>
          </w:p>
          <w:p w14:paraId="4C11460F" w14:textId="77777777" w:rsidR="00674AE1" w:rsidRDefault="00674AE1">
            <w:pPr>
              <w:pStyle w:val="ListParagraph"/>
              <w:numPr>
                <w:ilvl w:val="0"/>
                <w:numId w:val="35"/>
              </w:numPr>
              <w:ind w:left="1050"/>
              <w:contextualSpacing w:val="0"/>
            </w:pPr>
            <w:r>
              <w:t>Explains success and risk factors (e.g. supply chain, environmental, construction, project cost) and outlines a risk mitigation plan.</w:t>
            </w:r>
          </w:p>
          <w:p w14:paraId="4DB985F0" w14:textId="77777777" w:rsidR="00674AE1" w:rsidRDefault="00674AE1">
            <w:pPr>
              <w:pStyle w:val="ListParagraph"/>
              <w:numPr>
                <w:ilvl w:val="0"/>
                <w:numId w:val="35"/>
              </w:numPr>
              <w:ind w:left="1050"/>
              <w:contextualSpacing w:val="0"/>
            </w:pPr>
            <w:r>
              <w:t>Demonstrates the project team, including any key partners, has appropriate qualifications, experience, financial stability, and capability to complete the project, including a history of successfully completing similar projects.</w:t>
            </w:r>
          </w:p>
          <w:p w14:paraId="615435E1" w14:textId="77777777" w:rsidR="00674AE1" w:rsidRDefault="00674AE1">
            <w:pPr>
              <w:pStyle w:val="ListParagraph"/>
              <w:numPr>
                <w:ilvl w:val="0"/>
                <w:numId w:val="35"/>
              </w:numPr>
              <w:ind w:left="1050"/>
              <w:contextualSpacing w:val="0"/>
            </w:pPr>
            <w:r>
              <w:t>Explains team structure and how various tasks will be managed and coordinated, including an organization chart.</w:t>
            </w:r>
          </w:p>
          <w:p w14:paraId="76A3F5F1" w14:textId="77777777" w:rsidR="00674AE1" w:rsidRDefault="00674AE1">
            <w:pPr>
              <w:pStyle w:val="ListParagraph"/>
              <w:numPr>
                <w:ilvl w:val="0"/>
                <w:numId w:val="35"/>
              </w:numPr>
              <w:ind w:left="1050"/>
              <w:contextualSpacing w:val="0"/>
            </w:pPr>
            <w:r>
              <w:t>Describes the facilities, infrastructure, and resources available that support the project.</w:t>
            </w:r>
          </w:p>
          <w:p w14:paraId="0B1F0C66" w14:textId="77777777" w:rsidR="00674AE1" w:rsidRDefault="00674AE1">
            <w:r>
              <w:t>Addresses the following in the Project Schedule (Attachment 05):</w:t>
            </w:r>
          </w:p>
          <w:p w14:paraId="412B639F" w14:textId="7BFDD114" w:rsidR="00674AE1" w:rsidRPr="00616F23" w:rsidRDefault="00674AE1">
            <w:pPr>
              <w:pStyle w:val="ListParagraph"/>
              <w:numPr>
                <w:ilvl w:val="0"/>
                <w:numId w:val="35"/>
              </w:numPr>
              <w:ind w:left="1050"/>
              <w:contextualSpacing w:val="0"/>
            </w:pPr>
            <w:r>
              <w:t xml:space="preserve">Identifies a realistic project schedule, with milestones, for completing all phases of the project, including </w:t>
            </w:r>
            <w:r w:rsidR="00A36072">
              <w:t xml:space="preserve">a </w:t>
            </w:r>
            <w:r>
              <w:t>project online date</w:t>
            </w:r>
            <w:r w:rsidR="00A36072">
              <w:t xml:space="preserve"> prior to </w:t>
            </w:r>
            <w:r w:rsidR="3E1B1F43">
              <w:t>Ma</w:t>
            </w:r>
            <w:r w:rsidR="7D38ECE2">
              <w:t>r</w:t>
            </w:r>
            <w:r w:rsidR="3E1B1F43">
              <w:t>ch</w:t>
            </w:r>
            <w:r w:rsidR="00A36072">
              <w:t xml:space="preserve"> 3</w:t>
            </w:r>
            <w:r w:rsidR="59EDA77D">
              <w:t>1</w:t>
            </w:r>
            <w:r w:rsidR="00A36072">
              <w:t>, 2030</w:t>
            </w:r>
            <w:r>
              <w:t>, and ensuring CEC funds will be spent prior to March 31</w:t>
            </w:r>
            <w:r w:rsidDel="00FB6673">
              <w:t>, 2030</w:t>
            </w:r>
            <w:r>
              <w:t xml:space="preserve">, </w:t>
            </w:r>
            <w:r w:rsidRPr="00522B65">
              <w:t>to account for necessary processing time</w:t>
            </w:r>
            <w:r>
              <w:t xml:space="preserve"> ahead of the liquidation</w:t>
            </w:r>
            <w:r w:rsidRPr="00522B65">
              <w:t xml:space="preserve"> </w:t>
            </w:r>
            <w:r>
              <w:t xml:space="preserve">deadline (June 30, 2030). </w:t>
            </w:r>
          </w:p>
        </w:tc>
        <w:tc>
          <w:tcPr>
            <w:tcW w:w="1342" w:type="dxa"/>
            <w:tcBorders>
              <w:top w:val="single" w:sz="4" w:space="0" w:color="auto"/>
              <w:left w:val="single" w:sz="4" w:space="0" w:color="auto"/>
              <w:bottom w:val="single" w:sz="4" w:space="0" w:color="auto"/>
              <w:right w:val="single" w:sz="4" w:space="0" w:color="auto"/>
            </w:tcBorders>
          </w:tcPr>
          <w:p w14:paraId="389997F0" w14:textId="77777777" w:rsidR="00674AE1" w:rsidRPr="00616F23" w:rsidRDefault="00674AE1">
            <w:pPr>
              <w:jc w:val="center"/>
            </w:pPr>
            <w:r>
              <w:t>25</w:t>
            </w:r>
          </w:p>
        </w:tc>
      </w:tr>
      <w:tr w:rsidR="00674AE1" w:rsidRPr="00616F23" w14:paraId="170F7911" w14:textId="77777777">
        <w:trPr>
          <w:cantSplit/>
          <w:trHeight w:val="368"/>
        </w:trPr>
        <w:tc>
          <w:tcPr>
            <w:tcW w:w="8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669444" w14:textId="77777777" w:rsidR="00674AE1" w:rsidRPr="00616F23" w:rsidRDefault="00674AE1">
            <w:r>
              <w:t>Criterion 2 total score is 25 points. The m</w:t>
            </w:r>
            <w:r w:rsidRPr="00616F23">
              <w:t xml:space="preserve">inimum Passing Score </w:t>
            </w:r>
            <w:r>
              <w:t xml:space="preserve">(70%) for this criterion is </w:t>
            </w:r>
            <w:r>
              <w:rPr>
                <w:i/>
                <w:iCs/>
                <w:u w:val="single"/>
              </w:rPr>
              <w:t>17.5</w:t>
            </w:r>
            <w:r w:rsidRPr="0F8B8284">
              <w:rPr>
                <w:i/>
                <w:iCs/>
                <w:u w:val="single"/>
              </w:rPr>
              <w:t xml:space="preserve"> points.</w:t>
            </w:r>
          </w:p>
        </w:tc>
        <w:tc>
          <w:tcPr>
            <w:tcW w:w="13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2D057" w14:textId="77777777" w:rsidR="00674AE1" w:rsidRPr="00616F23" w:rsidRDefault="00674AE1">
            <w:pPr>
              <w:jc w:val="center"/>
            </w:pPr>
          </w:p>
        </w:tc>
      </w:tr>
      <w:tr w:rsidR="00674AE1" w:rsidRPr="00616F23" w14:paraId="4A946C02" w14:textId="77777777">
        <w:tc>
          <w:tcPr>
            <w:tcW w:w="8362" w:type="dxa"/>
          </w:tcPr>
          <w:p w14:paraId="47A44463" w14:textId="77777777" w:rsidR="00674AE1" w:rsidRPr="00FD3F52" w:rsidRDefault="00674AE1">
            <w:pPr>
              <w:ind w:left="109"/>
              <w:rPr>
                <w:b/>
              </w:rPr>
            </w:pPr>
            <w:r>
              <w:rPr>
                <w:b/>
              </w:rPr>
              <w:t>3</w:t>
            </w:r>
            <w:r w:rsidRPr="00FD3F52">
              <w:rPr>
                <w:b/>
              </w:rPr>
              <w:t>. Project Readiness</w:t>
            </w:r>
            <w:r>
              <w:rPr>
                <w:b/>
              </w:rPr>
              <w:t xml:space="preserve"> </w:t>
            </w:r>
          </w:p>
          <w:p w14:paraId="03E0612F" w14:textId="77777777" w:rsidR="00674AE1" w:rsidRDefault="00674AE1">
            <w:r>
              <w:t xml:space="preserve">Degree to which the application: </w:t>
            </w:r>
          </w:p>
          <w:p w14:paraId="51FD0C09" w14:textId="77777777" w:rsidR="00674AE1" w:rsidRDefault="00674AE1">
            <w:r>
              <w:lastRenderedPageBreak/>
              <w:t>Addresses the following in attachments such as the Project Narrative (Attachment 02), Project Schedule (Attachment 05), and the CEQA Compliance Form (Attachment 07). Required letters should be attached to the CEQA Compliance Form and marked as submitted in the Project Readiness Checklist (Attachment 12).</w:t>
            </w:r>
          </w:p>
          <w:p w14:paraId="73C38571" w14:textId="7634EB17" w:rsidR="00674AE1" w:rsidRDefault="00674AE1">
            <w:pPr>
              <w:pStyle w:val="ListParagraph"/>
              <w:numPr>
                <w:ilvl w:val="0"/>
                <w:numId w:val="34"/>
              </w:numPr>
              <w:ind w:left="1140"/>
              <w:contextualSpacing w:val="0"/>
            </w:pPr>
            <w:r>
              <w:t>Demonstrates completed or pending approval</w:t>
            </w:r>
            <w:r w:rsidR="00B86A53">
              <w:t>(s)</w:t>
            </w:r>
            <w:r>
              <w:t xml:space="preserve"> of the project, including any geographically distinct subprojects, by the local land use authority (e.g. city, county, state), including compliance with the California Environmental Quality Act (CEQA)</w:t>
            </w:r>
            <w:r w:rsidR="00B86A53">
              <w:t xml:space="preserve"> and any other applicable laws</w:t>
            </w:r>
            <w:r>
              <w:t>. Please see Section II.C “Environmental Review Requirements”.</w:t>
            </w:r>
            <w:r>
              <w:rPr>
                <w:rStyle w:val="FootnoteReference"/>
              </w:rPr>
              <w:footnoteReference w:id="23"/>
            </w:r>
            <w:r>
              <w:t xml:space="preserve"> </w:t>
            </w:r>
          </w:p>
          <w:p w14:paraId="2EE32787" w14:textId="77777777" w:rsidR="00674AE1" w:rsidRDefault="00674AE1">
            <w:pPr>
              <w:pStyle w:val="ListParagraph"/>
              <w:numPr>
                <w:ilvl w:val="0"/>
                <w:numId w:val="34"/>
              </w:numPr>
              <w:ind w:left="1140"/>
              <w:contextualSpacing w:val="0"/>
            </w:pPr>
            <w:r>
              <w:t>As applicable, substantiates the submittal of the project application to the local land use authority, including the status and expected timeline of the permitting or approval of the project and any environmental review.</w:t>
            </w:r>
          </w:p>
          <w:p w14:paraId="5B703A09" w14:textId="77777777" w:rsidR="00674AE1" w:rsidDel="00061D95" w:rsidRDefault="00674AE1">
            <w:pPr>
              <w:pStyle w:val="ListParagraph"/>
              <w:numPr>
                <w:ilvl w:val="0"/>
                <w:numId w:val="34"/>
              </w:numPr>
              <w:ind w:left="1140"/>
              <w:contextualSpacing w:val="0"/>
            </w:pPr>
            <w:r>
              <w:t xml:space="preserve">As applicable, substantiates a local agency’s determination of CEQA exemption, or acceptance of an existing environmental document meeting the local agency’s requirements for the project’s environmental impacts analysis, such as relevant documentation from a local building or planning official. </w:t>
            </w:r>
          </w:p>
          <w:p w14:paraId="7B6F5CDC" w14:textId="77777777" w:rsidR="00674AE1" w:rsidRDefault="00674AE1">
            <w:pPr>
              <w:pStyle w:val="ListParagraph"/>
              <w:numPr>
                <w:ilvl w:val="0"/>
                <w:numId w:val="34"/>
              </w:numPr>
              <w:ind w:left="1140"/>
              <w:contextualSpacing w:val="0"/>
            </w:pPr>
            <w:r>
              <w:t xml:space="preserve">As applicable, for applicants proposing a Battery Energy Storage System (BESS), establishes confidence in the status of fire safety permitting, such as documentation obtained from the local fire marshal. </w:t>
            </w:r>
          </w:p>
          <w:p w14:paraId="7A4A4BD8" w14:textId="77777777" w:rsidR="00674AE1" w:rsidRPr="001533E8" w:rsidRDefault="00674AE1">
            <w:pPr>
              <w:pStyle w:val="ListParagraph"/>
              <w:numPr>
                <w:ilvl w:val="0"/>
                <w:numId w:val="34"/>
              </w:numPr>
              <w:ind w:left="1140"/>
              <w:contextualSpacing w:val="0"/>
            </w:pPr>
            <w:r>
              <w:t>As applicable, documents</w:t>
            </w:r>
            <w:r w:rsidDel="00D4069C">
              <w:t xml:space="preserve"> </w:t>
            </w:r>
            <w:r>
              <w:t xml:space="preserve">status </w:t>
            </w:r>
            <w:r w:rsidRPr="00027A8A">
              <w:rPr>
                <w:szCs w:val="22"/>
              </w:rPr>
              <w:t>of any</w:t>
            </w:r>
            <w:r w:rsidRPr="007204F9">
              <w:rPr>
                <w:szCs w:val="22"/>
              </w:rPr>
              <w:t xml:space="preserve"> utility and/or balancing authority interconnection studies or approvals </w:t>
            </w:r>
            <w:r>
              <w:rPr>
                <w:szCs w:val="22"/>
              </w:rPr>
              <w:t xml:space="preserve">necessary </w:t>
            </w:r>
            <w:r w:rsidRPr="007204F9">
              <w:rPr>
                <w:szCs w:val="22"/>
              </w:rPr>
              <w:t xml:space="preserve">for the </w:t>
            </w:r>
            <w:r>
              <w:rPr>
                <w:szCs w:val="22"/>
              </w:rPr>
              <w:t>project</w:t>
            </w:r>
            <w:r w:rsidRPr="007204F9">
              <w:rPr>
                <w:szCs w:val="22"/>
              </w:rPr>
              <w:t xml:space="preserve"> to</w:t>
            </w:r>
            <w:r>
              <w:rPr>
                <w:szCs w:val="22"/>
              </w:rPr>
              <w:t xml:space="preserve"> obtain required permits and</w:t>
            </w:r>
            <w:r w:rsidRPr="007204F9">
              <w:rPr>
                <w:szCs w:val="22"/>
              </w:rPr>
              <w:t xml:space="preserve"> begin operations.  </w:t>
            </w:r>
          </w:p>
          <w:p w14:paraId="0F4C9B47" w14:textId="77777777" w:rsidR="00674AE1" w:rsidRPr="00502452" w:rsidRDefault="00674AE1">
            <w:pPr>
              <w:ind w:left="1140"/>
            </w:pPr>
            <w:r>
              <w:t xml:space="preserve">Additionally, applicants may select one </w:t>
            </w:r>
            <w:r>
              <w:rPr>
                <w:szCs w:val="22"/>
              </w:rPr>
              <w:t>of the stages of interconnection readiness listed in Section II.B.9 “Project Readiness” that reflects the status at the time of application</w:t>
            </w:r>
            <w:r w:rsidRPr="0053275E">
              <w:rPr>
                <w:szCs w:val="22"/>
              </w:rPr>
              <w:t xml:space="preserve"> submission.</w:t>
            </w:r>
            <w:r>
              <w:rPr>
                <w:szCs w:val="22"/>
              </w:rPr>
              <w:t xml:space="preserve"> A higher readiness level will be scored more favorably</w:t>
            </w:r>
            <w:r w:rsidDel="00F24261">
              <w:t>.</w:t>
            </w:r>
          </w:p>
          <w:p w14:paraId="08EDA560" w14:textId="77777777" w:rsidR="00674AE1" w:rsidRDefault="00674AE1">
            <w:pPr>
              <w:pStyle w:val="ListParagraph"/>
              <w:numPr>
                <w:ilvl w:val="0"/>
                <w:numId w:val="34"/>
              </w:numPr>
              <w:ind w:left="1140"/>
              <w:contextualSpacing w:val="0"/>
            </w:pPr>
            <w:r>
              <w:t>For BTM non-residential projects or FTM projects, e</w:t>
            </w:r>
            <w:r w:rsidRPr="00872231">
              <w:t xml:space="preserve">stablishes confidence in </w:t>
            </w:r>
            <w:r>
              <w:t xml:space="preserve">verified </w:t>
            </w:r>
            <w:r w:rsidRPr="00872231">
              <w:t xml:space="preserve">site </w:t>
            </w:r>
            <w:r>
              <w:t xml:space="preserve">control for each identified project site, including but not limited to an executed lease agreement, </w:t>
            </w:r>
            <w:r>
              <w:lastRenderedPageBreak/>
              <w:t xml:space="preserve">executed host site agreement, recorded easement, or proof of property ownership. If a project partner is providing the site, a Letter of Commitment is required </w:t>
            </w:r>
            <w:r w:rsidRPr="00CC447D">
              <w:rPr>
                <w:rFonts w:eastAsia="Arial" w:cs="Tahoma"/>
                <w:szCs w:val="24"/>
              </w:rPr>
              <w:t>indicating plan and timeline for site ownership, leases, or access rights</w:t>
            </w:r>
            <w:r>
              <w:t xml:space="preserve"> (see Attachment 09).</w:t>
            </w:r>
          </w:p>
          <w:p w14:paraId="1FEDF84B" w14:textId="77777777" w:rsidR="00674AE1" w:rsidRPr="00355E4C" w:rsidRDefault="00674AE1">
            <w:r>
              <w:t xml:space="preserve">Addresses the following in the Scope of Work (Attachment 04): </w:t>
            </w:r>
          </w:p>
          <w:p w14:paraId="075B135E" w14:textId="534AE07B" w:rsidR="00674AE1" w:rsidRPr="001533E8" w:rsidRDefault="00674AE1">
            <w:pPr>
              <w:pStyle w:val="ListParagraph"/>
              <w:numPr>
                <w:ilvl w:val="0"/>
                <w:numId w:val="34"/>
              </w:numPr>
              <w:ind w:left="1140"/>
              <w:contextualSpacing w:val="0"/>
            </w:pPr>
            <w:r>
              <w:t>Identifies</w:t>
            </w:r>
            <w:r w:rsidRPr="00355E4C">
              <w:t xml:space="preserve"> goals, objectives, deliverables, </w:t>
            </w:r>
            <w:r>
              <w:t xml:space="preserve">work tasks and </w:t>
            </w:r>
            <w:r w:rsidRPr="00355E4C">
              <w:t xml:space="preserve">details of the work to </w:t>
            </w:r>
            <w:r w:rsidRPr="005B4296">
              <w:t xml:space="preserve">be performed </w:t>
            </w:r>
            <w:r>
              <w:t xml:space="preserve">and how the work will be managed. This should align </w:t>
            </w:r>
            <w:r w:rsidRPr="005B4296">
              <w:t>with the information</w:t>
            </w:r>
            <w:r>
              <w:t xml:space="preserve"> submitted in the Project Narrative and Project Schedule. </w:t>
            </w:r>
          </w:p>
        </w:tc>
        <w:tc>
          <w:tcPr>
            <w:tcW w:w="1342" w:type="dxa"/>
          </w:tcPr>
          <w:p w14:paraId="4C02A084" w14:textId="77777777" w:rsidR="00674AE1" w:rsidRPr="00616F23" w:rsidRDefault="00674AE1">
            <w:pPr>
              <w:jc w:val="center"/>
            </w:pPr>
            <w:r>
              <w:lastRenderedPageBreak/>
              <w:t>20</w:t>
            </w:r>
          </w:p>
          <w:p w14:paraId="1BD4B79B" w14:textId="77777777" w:rsidR="00674AE1" w:rsidRPr="00616F23" w:rsidRDefault="00674AE1">
            <w:pPr>
              <w:jc w:val="center"/>
            </w:pPr>
          </w:p>
        </w:tc>
      </w:tr>
      <w:tr w:rsidR="00674AE1" w:rsidRPr="00616F23" w14:paraId="2C4AE6AA" w14:textId="77777777">
        <w:trPr>
          <w:trHeight w:val="143"/>
        </w:trPr>
        <w:tc>
          <w:tcPr>
            <w:tcW w:w="8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05322" w14:textId="77777777" w:rsidR="00674AE1" w:rsidRPr="00BD0D27" w:rsidRDefault="00674AE1">
            <w:pPr>
              <w:rPr>
                <w:i/>
                <w:iCs/>
                <w:u w:val="single"/>
              </w:rPr>
            </w:pPr>
            <w:r>
              <w:lastRenderedPageBreak/>
              <w:t xml:space="preserve">Criterion 3 total score is </w:t>
            </w:r>
            <w:r w:rsidRPr="00BD3C7E">
              <w:t>20</w:t>
            </w:r>
            <w:r>
              <w:t xml:space="preserve"> points. The m</w:t>
            </w:r>
            <w:r w:rsidRPr="00616F23">
              <w:t xml:space="preserve">inimum Passing Score </w:t>
            </w:r>
            <w:r>
              <w:t xml:space="preserve">(70%) for this criterion is </w:t>
            </w:r>
            <w:r>
              <w:rPr>
                <w:i/>
                <w:iCs/>
                <w:u w:val="single"/>
              </w:rPr>
              <w:t>14</w:t>
            </w:r>
            <w:r w:rsidRPr="0F8B8284">
              <w:rPr>
                <w:i/>
                <w:iCs/>
                <w:u w:val="single"/>
              </w:rPr>
              <w:t xml:space="preserve"> points.</w:t>
            </w:r>
          </w:p>
        </w:tc>
        <w:tc>
          <w:tcPr>
            <w:tcW w:w="1342" w:type="dxa"/>
            <w:tcBorders>
              <w:top w:val="single" w:sz="4" w:space="0" w:color="auto"/>
              <w:left w:val="single" w:sz="4" w:space="0" w:color="auto"/>
              <w:bottom w:val="single" w:sz="4" w:space="0" w:color="auto"/>
              <w:right w:val="single" w:sz="4" w:space="0" w:color="auto"/>
            </w:tcBorders>
          </w:tcPr>
          <w:p w14:paraId="168200FE" w14:textId="77777777" w:rsidR="00674AE1" w:rsidRPr="00616F23" w:rsidRDefault="00674AE1">
            <w:pPr>
              <w:jc w:val="center"/>
            </w:pPr>
          </w:p>
          <w:p w14:paraId="146CC83F" w14:textId="77777777" w:rsidR="00674AE1" w:rsidRDefault="00674AE1">
            <w:pPr>
              <w:jc w:val="center"/>
            </w:pPr>
          </w:p>
        </w:tc>
      </w:tr>
      <w:tr w:rsidR="00674AE1" w:rsidRPr="00616F23" w14:paraId="081E7223" w14:textId="77777777">
        <w:tc>
          <w:tcPr>
            <w:tcW w:w="8362" w:type="dxa"/>
            <w:tcBorders>
              <w:bottom w:val="single" w:sz="4" w:space="0" w:color="auto"/>
            </w:tcBorders>
          </w:tcPr>
          <w:p w14:paraId="507FD010" w14:textId="77777777" w:rsidR="00674AE1" w:rsidRPr="00A06DA2" w:rsidRDefault="00674AE1">
            <w:pPr>
              <w:ind w:left="109"/>
              <w:rPr>
                <w:rFonts w:cs="Times New Roman"/>
                <w:b/>
                <w:smallCaps/>
              </w:rPr>
            </w:pPr>
            <w:r>
              <w:rPr>
                <w:b/>
              </w:rPr>
              <w:t xml:space="preserve">4. Funding and Reasonable </w:t>
            </w:r>
            <w:r w:rsidRPr="00A06DA2">
              <w:rPr>
                <w:b/>
              </w:rPr>
              <w:t xml:space="preserve">Budget </w:t>
            </w:r>
          </w:p>
          <w:p w14:paraId="525DDA84" w14:textId="77777777" w:rsidR="00674AE1" w:rsidRDefault="00674AE1">
            <w:r>
              <w:t xml:space="preserve">Degree to which the application: </w:t>
            </w:r>
          </w:p>
          <w:p w14:paraId="7594D896" w14:textId="77777777" w:rsidR="00674AE1" w:rsidRDefault="00674AE1">
            <w:r>
              <w:t>Addresses the following in attachments such as the Project Narrative (Attachment 02):</w:t>
            </w:r>
          </w:p>
          <w:p w14:paraId="0AA429F1" w14:textId="77777777" w:rsidR="00D07F9C" w:rsidRDefault="00674AE1" w:rsidP="00D07F9C">
            <w:pPr>
              <w:pStyle w:val="ListParagraph"/>
              <w:numPr>
                <w:ilvl w:val="0"/>
                <w:numId w:val="5"/>
              </w:numPr>
              <w:ind w:left="1140"/>
              <w:contextualSpacing w:val="0"/>
            </w:pPr>
            <w:r>
              <w:t>Describes the need for DEBA funding to overcome policy or structural barriers and challenges.</w:t>
            </w:r>
          </w:p>
          <w:p w14:paraId="22B6CD47" w14:textId="3C15C11B" w:rsidR="00807B26" w:rsidRDefault="00807B26" w:rsidP="00807B26">
            <w:pPr>
              <w:pStyle w:val="ListParagraph"/>
              <w:numPr>
                <w:ilvl w:val="0"/>
                <w:numId w:val="5"/>
              </w:numPr>
              <w:ind w:left="1140"/>
              <w:contextualSpacing w:val="0"/>
            </w:pPr>
            <w:r>
              <w:t xml:space="preserve">Explains how requested </w:t>
            </w:r>
            <w:r w:rsidR="004A2F1D">
              <w:t xml:space="preserve">CEC </w:t>
            </w:r>
            <w:r>
              <w:t>and match funds will be spent on the project (e.g. equipment, personnel).</w:t>
            </w:r>
          </w:p>
          <w:p w14:paraId="67E6089C" w14:textId="6C7CF0D8" w:rsidR="00FE7B20" w:rsidRDefault="001E246D" w:rsidP="00FE7B20">
            <w:pPr>
              <w:pStyle w:val="ListParagraph"/>
              <w:numPr>
                <w:ilvl w:val="0"/>
                <w:numId w:val="5"/>
              </w:numPr>
              <w:ind w:left="1140"/>
              <w:contextualSpacing w:val="0"/>
            </w:pPr>
            <w:r>
              <w:t xml:space="preserve">Describes </w:t>
            </w:r>
            <w:r w:rsidR="00CE46D0">
              <w:t xml:space="preserve">(1) </w:t>
            </w:r>
            <w:r w:rsidR="007C4AF2" w:rsidRPr="007C4AF2">
              <w:t xml:space="preserve">any compensation that the </w:t>
            </w:r>
            <w:r w:rsidR="00C81635">
              <w:t>host site</w:t>
            </w:r>
            <w:r w:rsidR="007C4AF2" w:rsidRPr="007C4AF2" w:rsidDel="00E8029F">
              <w:t xml:space="preserve"> </w:t>
            </w:r>
            <w:r w:rsidR="007C4AF2" w:rsidRPr="007C4AF2">
              <w:t>will receive through any power utility, CCA, LSE, or state</w:t>
            </w:r>
            <w:r w:rsidR="001428F5">
              <w:t>/federal</w:t>
            </w:r>
            <w:r w:rsidR="007C4AF2" w:rsidRPr="007C4AF2">
              <w:t xml:space="preserve"> program (including bill savings/credits or export compensation under </w:t>
            </w:r>
            <w:r w:rsidR="00C92D37">
              <w:t>the</w:t>
            </w:r>
            <w:r w:rsidR="007C4AF2" w:rsidRPr="007C4AF2">
              <w:t xml:space="preserve"> utility or LSE rate plan) designed to procure demand response, net load reduction, or grid services </w:t>
            </w:r>
            <w:r w:rsidR="00DE4D8D">
              <w:t xml:space="preserve">(including participation in balancing authority markets) </w:t>
            </w:r>
            <w:r w:rsidR="007C4AF2" w:rsidRPr="007C4AF2">
              <w:t>provided by DEBA-funded equipment over the life of the project</w:t>
            </w:r>
            <w:r w:rsidR="008600B8">
              <w:t>, (2) how the project will be dispatched to maximize benefits to the host site</w:t>
            </w:r>
            <w:r w:rsidR="008600B8" w:rsidRPr="00A85CF8">
              <w:t xml:space="preserve"> via bill savings/credits and/or earning compensation for providing grid services (for example, in case of market integrated pathway, describe the bid price strategy to maximize market dispatches)</w:t>
            </w:r>
            <w:r w:rsidR="008600B8">
              <w:t>,</w:t>
            </w:r>
            <w:r w:rsidR="007C4AF2" w:rsidRPr="007C4AF2">
              <w:t xml:space="preserve"> and </w:t>
            </w:r>
            <w:r w:rsidR="00CE46D0">
              <w:t>(</w:t>
            </w:r>
            <w:r w:rsidR="008600B8">
              <w:t>3</w:t>
            </w:r>
            <w:r w:rsidR="007C4AF2" w:rsidRPr="007C4AF2">
              <w:t xml:space="preserve">) </w:t>
            </w:r>
            <w:r w:rsidR="00FE01D2">
              <w:t>how</w:t>
            </w:r>
            <w:r w:rsidR="007C4AF2" w:rsidRPr="007C4AF2" w:rsidDel="00DC24A2">
              <w:t xml:space="preserve"> </w:t>
            </w:r>
            <w:r w:rsidR="007C4AF2" w:rsidRPr="007C4AF2">
              <w:t xml:space="preserve">this compensation </w:t>
            </w:r>
            <w:r w:rsidR="00DC24A2">
              <w:t xml:space="preserve">is accounted for </w:t>
            </w:r>
            <w:r w:rsidR="007C4AF2" w:rsidRPr="007C4AF2">
              <w:t>as an offset to allowable costs</w:t>
            </w:r>
            <w:r w:rsidR="00907D31">
              <w:t xml:space="preserve"> to reduce requested </w:t>
            </w:r>
            <w:r w:rsidR="00EC459B">
              <w:t xml:space="preserve">DEBA </w:t>
            </w:r>
            <w:r w:rsidR="00907D31">
              <w:t>funds</w:t>
            </w:r>
            <w:r w:rsidR="00FE01D2">
              <w:t>.</w:t>
            </w:r>
          </w:p>
          <w:p w14:paraId="4EF6C348" w14:textId="77777777" w:rsidR="00674AE1" w:rsidRDefault="00674AE1">
            <w:pPr>
              <w:pStyle w:val="ListParagraph"/>
              <w:numPr>
                <w:ilvl w:val="0"/>
                <w:numId w:val="5"/>
              </w:numPr>
              <w:ind w:left="1140"/>
              <w:contextualSpacing w:val="0"/>
            </w:pPr>
            <w:r w:rsidRPr="005B4296">
              <w:t>Justifies the reasonableness of the requested funds relative to the project goals, objectives, and tasks.</w:t>
            </w:r>
            <w:r>
              <w:t xml:space="preserve"> </w:t>
            </w:r>
          </w:p>
          <w:p w14:paraId="6BAE8FD3" w14:textId="75EAF637" w:rsidR="00674AE1" w:rsidRDefault="00674AE1">
            <w:pPr>
              <w:pStyle w:val="ListParagraph"/>
              <w:numPr>
                <w:ilvl w:val="0"/>
                <w:numId w:val="5"/>
              </w:numPr>
              <w:ind w:left="1140"/>
              <w:contextualSpacing w:val="0"/>
            </w:pPr>
            <w:r>
              <w:t>Describes</w:t>
            </w:r>
            <w:r w:rsidRPr="005B4296" w:rsidDel="00104C31">
              <w:t xml:space="preserve"> </w:t>
            </w:r>
            <w:r w:rsidR="00104C31">
              <w:t>any</w:t>
            </w:r>
            <w:r w:rsidR="00104C31" w:rsidRPr="005B4296">
              <w:t xml:space="preserve"> </w:t>
            </w:r>
            <w:r w:rsidR="00620C02">
              <w:t xml:space="preserve">funding and </w:t>
            </w:r>
            <w:r w:rsidRPr="005B4296">
              <w:t>budget risks or contingencies</w:t>
            </w:r>
            <w:r w:rsidR="00DF3589">
              <w:t xml:space="preserve">, including </w:t>
            </w:r>
            <w:r w:rsidR="00394ADE">
              <w:t>any inter</w:t>
            </w:r>
            <w:r w:rsidR="00051024">
              <w:t>d</w:t>
            </w:r>
            <w:r w:rsidR="00394ADE">
              <w:t>e</w:t>
            </w:r>
            <w:r w:rsidR="00051024">
              <w:t>pend</w:t>
            </w:r>
            <w:r w:rsidR="00394ADE">
              <w:t>encies</w:t>
            </w:r>
            <w:r w:rsidR="00051024">
              <w:t xml:space="preserve"> </w:t>
            </w:r>
            <w:r w:rsidR="001461E5">
              <w:t xml:space="preserve">between DEBA-funded activities </w:t>
            </w:r>
            <w:r w:rsidR="008D28E1">
              <w:lastRenderedPageBreak/>
              <w:t xml:space="preserve">and </w:t>
            </w:r>
            <w:r w:rsidR="008A0827">
              <w:t>non</w:t>
            </w:r>
            <w:r w:rsidR="004A2FB1">
              <w:t>-DEBA</w:t>
            </w:r>
            <w:r w:rsidR="00D911E8">
              <w:t xml:space="preserve"> funded activities</w:t>
            </w:r>
            <w:r w:rsidR="00C77340">
              <w:t xml:space="preserve"> (e.g.</w:t>
            </w:r>
            <w:r w:rsidR="00EB6DD6">
              <w:t>,</w:t>
            </w:r>
            <w:r w:rsidR="00C77340">
              <w:t xml:space="preserve"> co-located solar PV supplying energy to assets funded by DEBA)</w:t>
            </w:r>
            <w:r w:rsidR="00D911E8">
              <w:t>,</w:t>
            </w:r>
            <w:r w:rsidR="00051024">
              <w:t xml:space="preserve"> </w:t>
            </w:r>
            <w:r w:rsidR="00104C31">
              <w:t>and how they</w:t>
            </w:r>
            <w:r w:rsidRPr="005B4296">
              <w:t xml:space="preserve"> will be addressed</w:t>
            </w:r>
            <w:r w:rsidR="00B349D6">
              <w:t xml:space="preserve"> or mitigated</w:t>
            </w:r>
            <w:r w:rsidRPr="005B4296">
              <w:t>.</w:t>
            </w:r>
          </w:p>
          <w:p w14:paraId="22D0765C" w14:textId="77777777" w:rsidR="00674AE1" w:rsidRPr="005B4296" w:rsidRDefault="00674AE1">
            <w:pPr>
              <w:pStyle w:val="ListParagraph"/>
              <w:numPr>
                <w:ilvl w:val="0"/>
                <w:numId w:val="5"/>
              </w:numPr>
              <w:ind w:left="1140"/>
              <w:contextualSpacing w:val="0"/>
            </w:pPr>
            <w:r>
              <w:t>Certifies the project will adhere to Proposition 4 requirements in PRC section 94510 (see Section I.E.7 “Proposition 4 Funding Restrictions”) and describes an accounting methodology to ensure and verify adherence.</w:t>
            </w:r>
          </w:p>
          <w:p w14:paraId="32595FB2" w14:textId="77777777" w:rsidR="00674AE1" w:rsidRDefault="00674AE1">
            <w:r>
              <w:t>Addresses the following in attachments such as the Budget (Attachment 06):</w:t>
            </w:r>
          </w:p>
          <w:p w14:paraId="29B8F2F4" w14:textId="77777777" w:rsidR="00674AE1" w:rsidRPr="005B4296" w:rsidRDefault="00674AE1">
            <w:pPr>
              <w:pStyle w:val="ListParagraph"/>
              <w:numPr>
                <w:ilvl w:val="0"/>
                <w:numId w:val="5"/>
              </w:numPr>
              <w:ind w:left="1140"/>
              <w:contextualSpacing w:val="0"/>
            </w:pPr>
            <w:r>
              <w:t xml:space="preserve">Provides complete </w:t>
            </w:r>
            <w:r w:rsidRPr="005B4296">
              <w:t xml:space="preserve">Budget forms for the </w:t>
            </w:r>
            <w:r>
              <w:t>A</w:t>
            </w:r>
            <w:r w:rsidRPr="005B4296">
              <w:t>pplicant and all subrecipients.</w:t>
            </w:r>
          </w:p>
          <w:p w14:paraId="374D3277" w14:textId="77777777" w:rsidR="00674AE1" w:rsidRPr="00074F61" w:rsidRDefault="00674AE1">
            <w:pPr>
              <w:numPr>
                <w:ilvl w:val="0"/>
                <w:numId w:val="5"/>
              </w:numPr>
              <w:ind w:left="1140"/>
              <w:rPr>
                <w:szCs w:val="24"/>
              </w:rPr>
            </w:pPr>
            <w:r>
              <w:t>Demonstrates</w:t>
            </w:r>
            <w:r w:rsidRPr="005B4296">
              <w:t xml:space="preserve"> the reasonableness of direct costs (e.g., labor, fringe benefits, equipment, materials &amp; misc. travel, and subrecipients).</w:t>
            </w:r>
          </w:p>
          <w:p w14:paraId="2795BF12" w14:textId="77777777" w:rsidR="00674AE1" w:rsidRPr="005B4296" w:rsidRDefault="00674AE1">
            <w:pPr>
              <w:pStyle w:val="ListParagraph"/>
              <w:numPr>
                <w:ilvl w:val="0"/>
                <w:numId w:val="5"/>
              </w:numPr>
              <w:ind w:left="1140"/>
              <w:contextualSpacing w:val="0"/>
            </w:pPr>
            <w:r>
              <w:t>Demonstrates</w:t>
            </w:r>
            <w:r w:rsidRPr="005B4296">
              <w:t xml:space="preserve"> the reasonableness of indirect costs</w:t>
            </w:r>
            <w:r>
              <w:t xml:space="preserve"> </w:t>
            </w:r>
            <w:r w:rsidRPr="005B4296">
              <w:t>(e.g., overhead, facility charges (e.g., rent, utilities), burdens, subrecipient profit, and other like costs).</w:t>
            </w:r>
          </w:p>
          <w:p w14:paraId="36CFE616" w14:textId="77777777" w:rsidR="00674AE1" w:rsidRPr="008C512C" w:rsidRDefault="00674AE1">
            <w:pPr>
              <w:pStyle w:val="ListParagraph"/>
              <w:numPr>
                <w:ilvl w:val="0"/>
                <w:numId w:val="5"/>
              </w:numPr>
              <w:ind w:left="1140"/>
              <w:contextualSpacing w:val="0"/>
              <w:rPr>
                <w:iCs/>
                <w:szCs w:val="22"/>
              </w:rPr>
            </w:pPr>
            <w:r>
              <w:t>Identifies</w:t>
            </w:r>
            <w:r w:rsidRPr="005B4296">
              <w:t xml:space="preserve"> match fun</w:t>
            </w:r>
            <w:r>
              <w:t>ds by documenting funds are secured, reasonable, available, and verifiable.</w:t>
            </w:r>
          </w:p>
          <w:p w14:paraId="7715D297" w14:textId="7A929E08" w:rsidR="00674AE1" w:rsidRPr="004B2D23" w:rsidRDefault="00674AE1" w:rsidP="00C10D21">
            <w:pPr>
              <w:numPr>
                <w:ilvl w:val="0"/>
                <w:numId w:val="5"/>
              </w:numPr>
              <w:ind w:left="1140"/>
              <w:rPr>
                <w:iCs/>
                <w:szCs w:val="22"/>
              </w:rPr>
            </w:pPr>
            <w:r>
              <w:t>Attaches price quotes from suppliers to justify cost estimates for equipment for eligible technologies.</w:t>
            </w:r>
          </w:p>
        </w:tc>
        <w:tc>
          <w:tcPr>
            <w:tcW w:w="1342" w:type="dxa"/>
            <w:tcBorders>
              <w:bottom w:val="single" w:sz="4" w:space="0" w:color="auto"/>
            </w:tcBorders>
          </w:tcPr>
          <w:p w14:paraId="1B3CD75B" w14:textId="77777777" w:rsidR="00674AE1" w:rsidRPr="00616F23" w:rsidRDefault="00674AE1">
            <w:pPr>
              <w:jc w:val="center"/>
            </w:pPr>
            <w:r>
              <w:lastRenderedPageBreak/>
              <w:t>15</w:t>
            </w:r>
          </w:p>
        </w:tc>
      </w:tr>
      <w:tr w:rsidR="00674AE1" w:rsidRPr="00616F23" w14:paraId="0383D980" w14:textId="77777777">
        <w:tc>
          <w:tcPr>
            <w:tcW w:w="8362" w:type="dxa"/>
            <w:tcBorders>
              <w:bottom w:val="single" w:sz="4" w:space="0" w:color="auto"/>
            </w:tcBorders>
            <w:shd w:val="clear" w:color="auto" w:fill="D9D9D9" w:themeFill="background1" w:themeFillShade="D9"/>
          </w:tcPr>
          <w:p w14:paraId="03F82592" w14:textId="3D06AE18" w:rsidR="00674AE1" w:rsidRPr="00F47582" w:rsidRDefault="00674AE1" w:rsidP="00F65B2B">
            <w:pPr>
              <w:ind w:left="109"/>
              <w:rPr>
                <w:bCs/>
              </w:rPr>
            </w:pPr>
            <w:r>
              <w:rPr>
                <w:bCs/>
              </w:rPr>
              <w:t>Criterion 4 total score is 15 points.</w:t>
            </w:r>
          </w:p>
        </w:tc>
        <w:tc>
          <w:tcPr>
            <w:tcW w:w="1342" w:type="dxa"/>
            <w:tcBorders>
              <w:bottom w:val="single" w:sz="4" w:space="0" w:color="auto"/>
            </w:tcBorders>
            <w:shd w:val="clear" w:color="auto" w:fill="D9D9D9" w:themeFill="background1" w:themeFillShade="D9"/>
          </w:tcPr>
          <w:p w14:paraId="61C5FCE5" w14:textId="77777777" w:rsidR="00674AE1" w:rsidDel="005E5D2A" w:rsidRDefault="00674AE1">
            <w:pPr>
              <w:jc w:val="center"/>
            </w:pPr>
          </w:p>
        </w:tc>
      </w:tr>
      <w:tr w:rsidR="00674AE1" w:rsidRPr="00616F23" w14:paraId="2C23FF48" w14:textId="77777777">
        <w:tc>
          <w:tcPr>
            <w:tcW w:w="8362" w:type="dxa"/>
            <w:tcBorders>
              <w:bottom w:val="single" w:sz="4" w:space="0" w:color="auto"/>
            </w:tcBorders>
          </w:tcPr>
          <w:p w14:paraId="743BC416" w14:textId="77777777" w:rsidR="00674AE1" w:rsidRPr="00A06DA2" w:rsidRDefault="00674AE1">
            <w:pPr>
              <w:ind w:left="109"/>
              <w:rPr>
                <w:rFonts w:cs="Times New Roman"/>
                <w:b/>
                <w:smallCaps/>
              </w:rPr>
            </w:pPr>
            <w:r>
              <w:rPr>
                <w:b/>
              </w:rPr>
              <w:t>5. Cost-Effectiveness</w:t>
            </w:r>
            <w:r w:rsidRPr="00A06DA2">
              <w:rPr>
                <w:b/>
              </w:rPr>
              <w:t xml:space="preserve"> </w:t>
            </w:r>
          </w:p>
          <w:p w14:paraId="33DE6FDC" w14:textId="77777777" w:rsidR="00674AE1" w:rsidRPr="005B4296" w:rsidRDefault="00674AE1">
            <w:pPr>
              <w:ind w:left="360"/>
            </w:pPr>
            <w:r>
              <w:t>Degree to which the application demonstrates the project is cost-effective as discussed below.</w:t>
            </w:r>
          </w:p>
          <w:p w14:paraId="77762C1A" w14:textId="65C58075" w:rsidR="00674AE1" w:rsidRPr="006D4E3C" w:rsidRDefault="00674AE1">
            <w:pPr>
              <w:ind w:left="360"/>
              <w:textAlignment w:val="baseline"/>
              <w:rPr>
                <w:iCs/>
                <w:szCs w:val="22"/>
              </w:rPr>
            </w:pPr>
            <w:r w:rsidRPr="006D4E3C">
              <w:rPr>
                <w:iCs/>
                <w:szCs w:val="22"/>
              </w:rPr>
              <w:t xml:space="preserve">The </w:t>
            </w:r>
            <w:r>
              <w:rPr>
                <w:iCs/>
                <w:szCs w:val="22"/>
              </w:rPr>
              <w:t xml:space="preserve">CEC Evaluation Committee will assess and score the </w:t>
            </w:r>
            <w:r w:rsidRPr="006D4E3C">
              <w:rPr>
                <w:szCs w:val="22"/>
              </w:rPr>
              <w:t>project’s</w:t>
            </w:r>
            <w:r w:rsidRPr="006D4E3C">
              <w:rPr>
                <w:iCs/>
                <w:szCs w:val="22"/>
              </w:rPr>
              <w:t xml:space="preserve"> cost-effectiveness</w:t>
            </w:r>
            <w:r>
              <w:rPr>
                <w:iCs/>
                <w:szCs w:val="22"/>
              </w:rPr>
              <w:t xml:space="preserve"> </w:t>
            </w:r>
            <w:r w:rsidRPr="006D4E3C">
              <w:rPr>
                <w:iCs/>
                <w:szCs w:val="22"/>
              </w:rPr>
              <w:t>in the following manner</w:t>
            </w:r>
            <w:r>
              <w:rPr>
                <w:iCs/>
                <w:szCs w:val="22"/>
              </w:rPr>
              <w:t xml:space="preserve">, </w:t>
            </w:r>
            <w:r w:rsidRPr="006D4E3C">
              <w:rPr>
                <w:iCs/>
                <w:szCs w:val="22"/>
              </w:rPr>
              <w:t xml:space="preserve">where </w:t>
            </w:r>
            <w:r>
              <w:rPr>
                <w:iCs/>
                <w:szCs w:val="22"/>
              </w:rPr>
              <w:t xml:space="preserve">“cost metric” or </w:t>
            </w:r>
            <w:r w:rsidRPr="006D4E3C">
              <w:rPr>
                <w:iCs/>
                <w:szCs w:val="22"/>
              </w:rPr>
              <w:t>CM</w:t>
            </w:r>
            <w:r>
              <w:rPr>
                <w:iCs/>
                <w:szCs w:val="22"/>
              </w:rPr>
              <w:t xml:space="preserve"> (</w:t>
            </w:r>
            <w:r w:rsidRPr="006D4E3C">
              <w:rPr>
                <w:iCs/>
                <w:szCs w:val="22"/>
              </w:rPr>
              <w:t xml:space="preserve">$/MW) </w:t>
            </w:r>
            <w:r>
              <w:rPr>
                <w:iCs/>
                <w:szCs w:val="22"/>
              </w:rPr>
              <w:t>is</w:t>
            </w:r>
            <w:r w:rsidRPr="006D4E3C">
              <w:rPr>
                <w:iCs/>
                <w:szCs w:val="22"/>
              </w:rPr>
              <w:t xml:space="preserve"> CEC funds requested</w:t>
            </w:r>
            <w:r>
              <w:rPr>
                <w:iCs/>
                <w:szCs w:val="22"/>
              </w:rPr>
              <w:t xml:space="preserve"> ($)</w:t>
            </w:r>
            <w:r w:rsidRPr="006D4E3C">
              <w:rPr>
                <w:iCs/>
                <w:szCs w:val="22"/>
              </w:rPr>
              <w:t xml:space="preserve"> </w:t>
            </w:r>
            <w:r>
              <w:rPr>
                <w:iCs/>
                <w:szCs w:val="22"/>
              </w:rPr>
              <w:t xml:space="preserve">for the project divided </w:t>
            </w:r>
            <w:r w:rsidRPr="006D4E3C">
              <w:rPr>
                <w:iCs/>
                <w:szCs w:val="22"/>
              </w:rPr>
              <w:t xml:space="preserve">by </w:t>
            </w:r>
            <w:r>
              <w:rPr>
                <w:iCs/>
                <w:szCs w:val="22"/>
              </w:rPr>
              <w:t>the project’s</w:t>
            </w:r>
            <w:r w:rsidRPr="006D4E3C">
              <w:rPr>
                <w:iCs/>
                <w:szCs w:val="22"/>
              </w:rPr>
              <w:t xml:space="preserve"> total rated capacity</w:t>
            </w:r>
            <w:r>
              <w:rPr>
                <w:iCs/>
                <w:szCs w:val="22"/>
              </w:rPr>
              <w:t xml:space="preserve"> (MW):</w:t>
            </w:r>
            <w:r w:rsidRPr="006D4E3C">
              <w:rPr>
                <w:iCs/>
                <w:szCs w:val="22"/>
              </w:rPr>
              <w:t xml:space="preserve"> </w:t>
            </w:r>
          </w:p>
          <w:p w14:paraId="0B86D1D7" w14:textId="77777777" w:rsidR="00674AE1" w:rsidRDefault="00674AE1">
            <w:pPr>
              <w:ind w:left="360"/>
              <w:rPr>
                <w:b/>
              </w:rPr>
            </w:pPr>
            <w:r w:rsidRPr="00273659">
              <w:rPr>
                <w:iCs/>
                <w:szCs w:val="22"/>
              </w:rPr>
              <w:t xml:space="preserve">The difference between the lowest and highest CM </w:t>
            </w:r>
            <w:r w:rsidRPr="00273659">
              <w:rPr>
                <w:szCs w:val="22"/>
              </w:rPr>
              <w:t>projects</w:t>
            </w:r>
            <w:r w:rsidRPr="00273659">
              <w:rPr>
                <w:iCs/>
                <w:szCs w:val="22"/>
              </w:rPr>
              <w:t xml:space="preserve"> of the submitted applications passing the </w:t>
            </w:r>
            <w:r>
              <w:rPr>
                <w:iCs/>
                <w:szCs w:val="22"/>
              </w:rPr>
              <w:t>minimum passing base points score</w:t>
            </w:r>
            <w:r w:rsidRPr="00273659">
              <w:rPr>
                <w:iCs/>
                <w:szCs w:val="22"/>
              </w:rPr>
              <w:t xml:space="preserve"> will be divided into 10 equal CM bands. </w:t>
            </w:r>
            <w:r w:rsidRPr="00273659">
              <w:rPr>
                <w:szCs w:val="22"/>
              </w:rPr>
              <w:t>Projects</w:t>
            </w:r>
            <w:r w:rsidRPr="00273659">
              <w:rPr>
                <w:iCs/>
                <w:szCs w:val="22"/>
              </w:rPr>
              <w:t xml:space="preserve"> with CM in Band 1 (lowest CM band) will receive 100% of the available points, while </w:t>
            </w:r>
            <w:r w:rsidRPr="00273659">
              <w:rPr>
                <w:szCs w:val="22"/>
              </w:rPr>
              <w:t>projects</w:t>
            </w:r>
            <w:r w:rsidRPr="00273659">
              <w:rPr>
                <w:iCs/>
                <w:szCs w:val="22"/>
              </w:rPr>
              <w:t xml:space="preserve"> with CM in Band 10 (highest CM band) will receive 10% of the available points. </w:t>
            </w:r>
            <w:r w:rsidRPr="00273659">
              <w:rPr>
                <w:szCs w:val="22"/>
              </w:rPr>
              <w:t>Projects</w:t>
            </w:r>
            <w:r w:rsidRPr="00273659">
              <w:rPr>
                <w:iCs/>
                <w:szCs w:val="22"/>
              </w:rPr>
              <w:t xml:space="preserve"> with CM in an intermediate Band N will receive a score of {100% - [(N-1) x 10%]} of the available points. Each band </w:t>
            </w:r>
            <w:r w:rsidRPr="00273659">
              <w:rPr>
                <w:iCs/>
                <w:szCs w:val="22"/>
              </w:rPr>
              <w:lastRenderedPageBreak/>
              <w:t>includes the highest end of the band but not the lowest end, except Band 1 includes both ends. </w:t>
            </w:r>
            <w:r>
              <w:rPr>
                <w:iCs/>
                <w:szCs w:val="22"/>
              </w:rPr>
              <w:t>T</w:t>
            </w:r>
            <w:r w:rsidRPr="006D4E3C">
              <w:rPr>
                <w:iCs/>
                <w:szCs w:val="22"/>
              </w:rPr>
              <w:t>he lower the CM</w:t>
            </w:r>
            <w:r>
              <w:rPr>
                <w:iCs/>
                <w:szCs w:val="22"/>
              </w:rPr>
              <w:t xml:space="preserve"> of a project</w:t>
            </w:r>
            <w:r w:rsidRPr="006D4E3C">
              <w:rPr>
                <w:iCs/>
                <w:szCs w:val="22"/>
              </w:rPr>
              <w:t xml:space="preserve">, the </w:t>
            </w:r>
            <w:r>
              <w:rPr>
                <w:iCs/>
                <w:szCs w:val="22"/>
              </w:rPr>
              <w:t>higher the</w:t>
            </w:r>
            <w:r w:rsidRPr="00680454">
              <w:rPr>
                <w:iCs/>
                <w:szCs w:val="22"/>
              </w:rPr>
              <w:t xml:space="preserve"> project’s score</w:t>
            </w:r>
            <w:r>
              <w:rPr>
                <w:iCs/>
                <w:szCs w:val="22"/>
              </w:rPr>
              <w:t xml:space="preserve"> for cost-effectiveness</w:t>
            </w:r>
            <w:r w:rsidRPr="00680454">
              <w:rPr>
                <w:iCs/>
                <w:szCs w:val="22"/>
              </w:rPr>
              <w:t>.</w:t>
            </w:r>
          </w:p>
        </w:tc>
        <w:tc>
          <w:tcPr>
            <w:tcW w:w="1342" w:type="dxa"/>
            <w:tcBorders>
              <w:bottom w:val="single" w:sz="4" w:space="0" w:color="auto"/>
            </w:tcBorders>
          </w:tcPr>
          <w:p w14:paraId="4E2CEA44" w14:textId="77777777" w:rsidR="00674AE1" w:rsidDel="005E5D2A" w:rsidRDefault="00674AE1">
            <w:pPr>
              <w:jc w:val="center"/>
            </w:pPr>
            <w:r>
              <w:lastRenderedPageBreak/>
              <w:t>15</w:t>
            </w:r>
          </w:p>
        </w:tc>
      </w:tr>
      <w:tr w:rsidR="00674AE1" w:rsidRPr="00616F23" w14:paraId="6F7B9E6C" w14:textId="77777777">
        <w:trPr>
          <w:trHeight w:val="323"/>
        </w:trPr>
        <w:tc>
          <w:tcPr>
            <w:tcW w:w="8362" w:type="dxa"/>
            <w:tcBorders>
              <w:top w:val="nil"/>
              <w:left w:val="single" w:sz="4" w:space="0" w:color="auto"/>
              <w:bottom w:val="single" w:sz="4" w:space="0" w:color="auto"/>
              <w:right w:val="single" w:sz="4" w:space="0" w:color="auto"/>
            </w:tcBorders>
            <w:shd w:val="clear" w:color="auto" w:fill="D9D9D9" w:themeFill="background1" w:themeFillShade="D9"/>
          </w:tcPr>
          <w:p w14:paraId="7C05390E" w14:textId="77777777" w:rsidR="00674AE1" w:rsidRPr="00616F23" w:rsidRDefault="00674AE1">
            <w:pPr>
              <w:rPr>
                <w:i/>
                <w:iCs/>
                <w:u w:val="single"/>
              </w:rPr>
            </w:pPr>
            <w:r>
              <w:t>Criterion 5 total score is 15 points.</w:t>
            </w:r>
          </w:p>
        </w:tc>
        <w:tc>
          <w:tcPr>
            <w:tcW w:w="1342" w:type="dxa"/>
            <w:tcBorders>
              <w:top w:val="nil"/>
              <w:left w:val="single" w:sz="4" w:space="0" w:color="auto"/>
              <w:bottom w:val="single" w:sz="4" w:space="0" w:color="auto"/>
              <w:right w:val="single" w:sz="4" w:space="0" w:color="auto"/>
            </w:tcBorders>
            <w:shd w:val="clear" w:color="auto" w:fill="D9D9D9" w:themeFill="background1" w:themeFillShade="D9"/>
          </w:tcPr>
          <w:p w14:paraId="6F6ACE5C" w14:textId="77777777" w:rsidR="00674AE1" w:rsidRPr="00616F23" w:rsidRDefault="00674AE1">
            <w:pPr>
              <w:jc w:val="center"/>
            </w:pPr>
          </w:p>
        </w:tc>
      </w:tr>
      <w:tr w:rsidR="00674AE1" w:rsidRPr="00616F23" w14:paraId="62B0A051" w14:textId="77777777">
        <w:trPr>
          <w:trHeight w:val="503"/>
        </w:trPr>
        <w:tc>
          <w:tcPr>
            <w:tcW w:w="8362" w:type="dxa"/>
            <w:shd w:val="clear" w:color="auto" w:fill="BFBFBF" w:themeFill="background1" w:themeFillShade="BF"/>
            <w:vAlign w:val="center"/>
          </w:tcPr>
          <w:p w14:paraId="747990F0" w14:textId="77777777" w:rsidR="00674AE1" w:rsidRPr="00616F23" w:rsidRDefault="00674AE1">
            <w:r w:rsidRPr="00616F23">
              <w:t xml:space="preserve">Total Possible </w:t>
            </w:r>
            <w:r>
              <w:t xml:space="preserve">Base </w:t>
            </w:r>
            <w:r w:rsidRPr="00616F23">
              <w:t>Points</w:t>
            </w:r>
            <w:r>
              <w:t xml:space="preserve"> (not including Preference Points)</w:t>
            </w:r>
          </w:p>
        </w:tc>
        <w:tc>
          <w:tcPr>
            <w:tcW w:w="1342" w:type="dxa"/>
            <w:shd w:val="clear" w:color="auto" w:fill="BFBFBF" w:themeFill="background1" w:themeFillShade="BF"/>
            <w:vAlign w:val="center"/>
          </w:tcPr>
          <w:p w14:paraId="76BA4331" w14:textId="77777777" w:rsidR="00674AE1" w:rsidRPr="00616F23" w:rsidRDefault="00674AE1">
            <w:pPr>
              <w:jc w:val="center"/>
            </w:pPr>
            <w:r w:rsidRPr="00616F23">
              <w:t>1</w:t>
            </w:r>
            <w:r>
              <w:t>00</w:t>
            </w:r>
          </w:p>
        </w:tc>
      </w:tr>
      <w:tr w:rsidR="00674AE1" w:rsidRPr="00616F23" w14:paraId="7E0570C4" w14:textId="77777777">
        <w:trPr>
          <w:trHeight w:val="503"/>
        </w:trPr>
        <w:tc>
          <w:tcPr>
            <w:tcW w:w="8362" w:type="dxa"/>
            <w:shd w:val="clear" w:color="auto" w:fill="BFBFBF" w:themeFill="background1" w:themeFillShade="BF"/>
            <w:vAlign w:val="center"/>
          </w:tcPr>
          <w:p w14:paraId="2D032476" w14:textId="77777777" w:rsidR="00674AE1" w:rsidRPr="00616F23" w:rsidRDefault="00674AE1">
            <w:r>
              <w:t>Minimum Passing Base Points Score (70%)</w:t>
            </w:r>
          </w:p>
        </w:tc>
        <w:tc>
          <w:tcPr>
            <w:tcW w:w="1342" w:type="dxa"/>
            <w:shd w:val="clear" w:color="auto" w:fill="BFBFBF" w:themeFill="background1" w:themeFillShade="BF"/>
            <w:vAlign w:val="center"/>
          </w:tcPr>
          <w:p w14:paraId="6C9A7EF5" w14:textId="77777777" w:rsidR="00674AE1" w:rsidRPr="00616F23" w:rsidRDefault="00674AE1">
            <w:pPr>
              <w:jc w:val="center"/>
            </w:pPr>
            <w:r>
              <w:t>70</w:t>
            </w:r>
          </w:p>
        </w:tc>
      </w:tr>
    </w:tbl>
    <w:p w14:paraId="31C40178" w14:textId="77777777" w:rsidR="00674AE1" w:rsidRDefault="00674AE1" w:rsidP="00674AE1"/>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73"/>
        <w:gridCol w:w="1208"/>
      </w:tblGrid>
      <w:tr w:rsidR="00674AE1" w:rsidRPr="00DC005E" w14:paraId="3707902D" w14:textId="77777777" w:rsidTr="00C51719">
        <w:trPr>
          <w:cantSplit/>
          <w:trHeight w:val="550"/>
          <w:tblHeader/>
        </w:trPr>
        <w:tc>
          <w:tcPr>
            <w:tcW w:w="8573" w:type="dxa"/>
            <w:shd w:val="clear" w:color="auto" w:fill="D9D9D9" w:themeFill="background1" w:themeFillShade="D9"/>
            <w:vAlign w:val="bottom"/>
          </w:tcPr>
          <w:p w14:paraId="47793295" w14:textId="77777777" w:rsidR="00674AE1" w:rsidRDefault="00674AE1">
            <w:pPr>
              <w:jc w:val="center"/>
              <w:rPr>
                <w:bCs/>
              </w:rPr>
            </w:pPr>
            <w:r>
              <w:rPr>
                <w:b/>
              </w:rPr>
              <w:t xml:space="preserve">Preference Points Scoring </w:t>
            </w:r>
            <w:r w:rsidRPr="00DC005E">
              <w:rPr>
                <w:b/>
              </w:rPr>
              <w:t>Criteria</w:t>
            </w:r>
          </w:p>
          <w:p w14:paraId="0F965DBE" w14:textId="64DDE38A" w:rsidR="00674AE1" w:rsidRPr="00F92AA3" w:rsidRDefault="00674AE1">
            <w:pPr>
              <w:rPr>
                <w:bCs/>
                <w:iCs/>
                <w:sz w:val="20"/>
              </w:rPr>
            </w:pPr>
            <w:r>
              <w:rPr>
                <w:bCs/>
                <w:iCs/>
              </w:rPr>
              <w:t>Applications must</w:t>
            </w:r>
            <w:r w:rsidRPr="009D7D56">
              <w:rPr>
                <w:rFonts w:eastAsia="Arial"/>
                <w:color w:val="000000" w:themeColor="text1"/>
              </w:rPr>
              <w:t xml:space="preserve"> </w:t>
            </w:r>
            <w:r>
              <w:rPr>
                <w:rFonts w:eastAsia="Arial"/>
                <w:color w:val="000000" w:themeColor="text1"/>
              </w:rPr>
              <w:t xml:space="preserve">achieve </w:t>
            </w:r>
            <w:r w:rsidRPr="009D7D56">
              <w:rPr>
                <w:rFonts w:eastAsia="Arial"/>
                <w:color w:val="000000" w:themeColor="text1"/>
              </w:rPr>
              <w:t xml:space="preserve">all minimum passing </w:t>
            </w:r>
            <w:r>
              <w:rPr>
                <w:rFonts w:eastAsia="Arial"/>
                <w:color w:val="000000" w:themeColor="text1"/>
              </w:rPr>
              <w:t xml:space="preserve">Base Point </w:t>
            </w:r>
            <w:r w:rsidRPr="009D7D56">
              <w:rPr>
                <w:rFonts w:eastAsia="Arial"/>
                <w:color w:val="000000" w:themeColor="text1"/>
              </w:rPr>
              <w:t xml:space="preserve">scores for </w:t>
            </w:r>
            <w:r w:rsidRPr="3B648627">
              <w:rPr>
                <w:rFonts w:eastAsia="Arial"/>
                <w:color w:val="000000" w:themeColor="text1"/>
              </w:rPr>
              <w:t xml:space="preserve">Scoring </w:t>
            </w:r>
            <w:r w:rsidRPr="009D7D56">
              <w:rPr>
                <w:rFonts w:eastAsia="Arial"/>
                <w:color w:val="000000" w:themeColor="text1"/>
              </w:rPr>
              <w:t>Criteria 1</w:t>
            </w:r>
            <w:r>
              <w:rPr>
                <w:rFonts w:eastAsia="Arial"/>
                <w:color w:val="000000" w:themeColor="text1"/>
              </w:rPr>
              <w:t xml:space="preserve"> - 5</w:t>
            </w:r>
            <w:r w:rsidRPr="009D7D56">
              <w:rPr>
                <w:rFonts w:eastAsia="Arial"/>
                <w:color w:val="000000" w:themeColor="text1"/>
              </w:rPr>
              <w:t xml:space="preserve"> to be eligible for the additional </w:t>
            </w:r>
            <w:r>
              <w:rPr>
                <w:rFonts w:eastAsia="Arial"/>
                <w:color w:val="000000" w:themeColor="text1"/>
              </w:rPr>
              <w:t>P</w:t>
            </w:r>
            <w:r w:rsidRPr="009D7D56">
              <w:rPr>
                <w:rFonts w:eastAsia="Arial"/>
                <w:color w:val="000000" w:themeColor="text1"/>
              </w:rPr>
              <w:t xml:space="preserve">reference </w:t>
            </w:r>
            <w:r>
              <w:rPr>
                <w:rFonts w:eastAsia="Arial"/>
                <w:color w:val="000000" w:themeColor="text1"/>
              </w:rPr>
              <w:t>P</w:t>
            </w:r>
            <w:r w:rsidRPr="009D7D56">
              <w:rPr>
                <w:rFonts w:eastAsia="Arial"/>
                <w:color w:val="000000" w:themeColor="text1"/>
              </w:rPr>
              <w:t>oints</w:t>
            </w:r>
            <w:r>
              <w:rPr>
                <w:rFonts w:eastAsia="Arial"/>
                <w:color w:val="000000" w:themeColor="text1"/>
              </w:rPr>
              <w:t xml:space="preserve"> (maximum possible </w:t>
            </w:r>
            <w:r w:rsidR="00791343">
              <w:rPr>
                <w:rFonts w:eastAsia="Arial"/>
                <w:color w:val="000000" w:themeColor="text1"/>
              </w:rPr>
              <w:t xml:space="preserve">25 </w:t>
            </w:r>
            <w:r>
              <w:rPr>
                <w:rFonts w:eastAsia="Arial"/>
                <w:color w:val="000000" w:themeColor="text1"/>
              </w:rPr>
              <w:t>preference points)</w:t>
            </w:r>
            <w:r w:rsidRPr="009D7D56">
              <w:rPr>
                <w:rFonts w:eastAsia="Arial"/>
                <w:color w:val="000000" w:themeColor="text1"/>
              </w:rPr>
              <w:t>.</w:t>
            </w:r>
          </w:p>
        </w:tc>
        <w:tc>
          <w:tcPr>
            <w:tcW w:w="1208" w:type="dxa"/>
            <w:shd w:val="clear" w:color="auto" w:fill="D9D9D9" w:themeFill="background1" w:themeFillShade="D9"/>
            <w:vAlign w:val="center"/>
          </w:tcPr>
          <w:p w14:paraId="1696ECCF" w14:textId="77777777" w:rsidR="00674AE1" w:rsidRPr="00DC005E" w:rsidRDefault="00674AE1">
            <w:pPr>
              <w:jc w:val="center"/>
              <w:rPr>
                <w:b/>
              </w:rPr>
            </w:pPr>
            <w:r w:rsidRPr="00DC005E">
              <w:rPr>
                <w:b/>
              </w:rPr>
              <w:t>Possible Points</w:t>
            </w:r>
          </w:p>
        </w:tc>
      </w:tr>
      <w:tr w:rsidR="00674AE1" w:rsidRPr="00616F23" w14:paraId="0A370EDD" w14:textId="77777777">
        <w:tc>
          <w:tcPr>
            <w:tcW w:w="8573" w:type="dxa"/>
            <w:tcBorders>
              <w:top w:val="single" w:sz="4" w:space="0" w:color="auto"/>
              <w:left w:val="single" w:sz="4" w:space="0" w:color="auto"/>
              <w:bottom w:val="single" w:sz="4" w:space="0" w:color="auto"/>
              <w:right w:val="single" w:sz="4" w:space="0" w:color="auto"/>
            </w:tcBorders>
            <w:vAlign w:val="center"/>
          </w:tcPr>
          <w:p w14:paraId="3832D30F" w14:textId="77777777" w:rsidR="00674AE1" w:rsidRPr="00454E83" w:rsidRDefault="00674AE1">
            <w:pPr>
              <w:ind w:left="109"/>
              <w:rPr>
                <w:b/>
                <w:bCs/>
              </w:rPr>
            </w:pPr>
            <w:r>
              <w:rPr>
                <w:b/>
                <w:bCs/>
              </w:rPr>
              <w:t xml:space="preserve">6. Direct and Meaningful Benefits to </w:t>
            </w:r>
            <w:r w:rsidRPr="00454E83">
              <w:rPr>
                <w:b/>
                <w:bCs/>
              </w:rPr>
              <w:t>Vulnerable Populations and Disadvantaged Communities</w:t>
            </w:r>
            <w:r w:rsidRPr="377A37D6">
              <w:rPr>
                <w:b/>
                <w:bCs/>
              </w:rPr>
              <w:t xml:space="preserve"> or Severely Disadvantaged Communities</w:t>
            </w:r>
          </w:p>
          <w:p w14:paraId="10D7AF95" w14:textId="77777777" w:rsidR="00674AE1" w:rsidRDefault="00674AE1">
            <w:pPr>
              <w:outlineLvl w:val="2"/>
              <w:rPr>
                <w:rFonts w:eastAsia="Arial"/>
                <w:szCs w:val="22"/>
              </w:rPr>
            </w:pPr>
            <w:r>
              <w:rPr>
                <w:rFonts w:eastAsia="Arial"/>
                <w:szCs w:val="22"/>
              </w:rPr>
              <w:t>A</w:t>
            </w:r>
            <w:r w:rsidRPr="00AD13C8">
              <w:rPr>
                <w:rFonts w:eastAsia="Arial"/>
                <w:szCs w:val="22"/>
              </w:rPr>
              <w:t xml:space="preserve">pplications proposing projects that provide meaningful and direct benefits to </w:t>
            </w:r>
            <w:r>
              <w:rPr>
                <w:rFonts w:eastAsia="Arial"/>
                <w:szCs w:val="22"/>
              </w:rPr>
              <w:t>V</w:t>
            </w:r>
            <w:r w:rsidRPr="00AD13C8">
              <w:rPr>
                <w:rFonts w:eastAsia="Arial"/>
                <w:szCs w:val="22"/>
              </w:rPr>
              <w:t xml:space="preserve">ulnerable </w:t>
            </w:r>
            <w:r>
              <w:rPr>
                <w:rFonts w:eastAsia="Arial"/>
                <w:szCs w:val="22"/>
              </w:rPr>
              <w:t>P</w:t>
            </w:r>
            <w:r w:rsidRPr="00AD13C8">
              <w:rPr>
                <w:rFonts w:eastAsia="Arial"/>
                <w:szCs w:val="22"/>
              </w:rPr>
              <w:t xml:space="preserve">opulations and </w:t>
            </w:r>
            <w:r>
              <w:rPr>
                <w:rFonts w:eastAsia="Arial"/>
                <w:szCs w:val="22"/>
              </w:rPr>
              <w:t>(S)DACs</w:t>
            </w:r>
            <w:r w:rsidRPr="00AD13C8">
              <w:rPr>
                <w:rFonts w:eastAsia="Arial"/>
                <w:szCs w:val="22"/>
              </w:rPr>
              <w:t xml:space="preserve"> qualify for up to 10 additional preference points.</w:t>
            </w:r>
            <w:r>
              <w:rPr>
                <w:rFonts w:eastAsia="Arial"/>
                <w:szCs w:val="22"/>
              </w:rPr>
              <w:t xml:space="preserve"> </w:t>
            </w:r>
          </w:p>
          <w:p w14:paraId="3D77A565" w14:textId="365A2763" w:rsidR="00674AE1" w:rsidRDefault="00674AE1">
            <w:pPr>
              <w:outlineLvl w:val="2"/>
              <w:rPr>
                <w:rFonts w:eastAsia="Arial"/>
                <w:szCs w:val="22"/>
              </w:rPr>
            </w:pPr>
            <w:r>
              <w:rPr>
                <w:rFonts w:eastAsia="Arial"/>
                <w:szCs w:val="22"/>
              </w:rPr>
              <w:t>To qualify for the preference points, Applicants must identify the community(</w:t>
            </w:r>
            <w:proofErr w:type="spellStart"/>
            <w:r>
              <w:rPr>
                <w:rFonts w:eastAsia="Arial"/>
                <w:szCs w:val="22"/>
              </w:rPr>
              <w:t>ies</w:t>
            </w:r>
            <w:proofErr w:type="spellEnd"/>
            <w:r>
              <w:rPr>
                <w:rFonts w:eastAsia="Arial"/>
                <w:szCs w:val="22"/>
              </w:rPr>
              <w:t>) and/or population</w:t>
            </w:r>
            <w:r w:rsidR="00127E2D">
              <w:rPr>
                <w:rFonts w:eastAsia="Arial"/>
                <w:szCs w:val="22"/>
              </w:rPr>
              <w:t>(</w:t>
            </w:r>
            <w:r>
              <w:rPr>
                <w:rFonts w:eastAsia="Arial"/>
                <w:szCs w:val="22"/>
              </w:rPr>
              <w:t>s</w:t>
            </w:r>
            <w:r w:rsidR="00127E2D">
              <w:rPr>
                <w:rFonts w:eastAsia="Arial"/>
                <w:szCs w:val="22"/>
              </w:rPr>
              <w:t>)</w:t>
            </w:r>
            <w:r>
              <w:rPr>
                <w:rFonts w:eastAsia="Arial"/>
                <w:szCs w:val="22"/>
              </w:rPr>
              <w:t xml:space="preserve"> </w:t>
            </w:r>
            <w:r w:rsidRPr="00C45091">
              <w:rPr>
                <w:rFonts w:eastAsia="Arial"/>
                <w:szCs w:val="22"/>
              </w:rPr>
              <w:t>receiving</w:t>
            </w:r>
            <w:r>
              <w:rPr>
                <w:rFonts w:eastAsia="Arial"/>
                <w:szCs w:val="22"/>
              </w:rPr>
              <w:t xml:space="preserve"> meaningful and direct benefits from the project in the Application Form (Attachment 01). Note, these may be different from the physical location of the project.  </w:t>
            </w:r>
          </w:p>
          <w:p w14:paraId="3210EB5C" w14:textId="1B362388" w:rsidR="00674AE1" w:rsidRDefault="00674AE1">
            <w:pPr>
              <w:rPr>
                <w:rFonts w:eastAsia="Arial"/>
              </w:rPr>
            </w:pPr>
            <w:r w:rsidRPr="377A37D6">
              <w:rPr>
                <w:rFonts w:eastAsia="Arial"/>
              </w:rPr>
              <w:t>The Applicant must describe in the Project Narrative (Attachment 02) the meaningful and direct benefits</w:t>
            </w:r>
            <w:r w:rsidRPr="377A37D6">
              <w:rPr>
                <w:rStyle w:val="FootnoteReference"/>
                <w:rFonts w:eastAsia="Arial"/>
              </w:rPr>
              <w:footnoteReference w:id="24"/>
            </w:r>
            <w:r w:rsidRPr="377A37D6">
              <w:rPr>
                <w:rFonts w:eastAsia="Arial"/>
              </w:rPr>
              <w:t xml:space="preserve"> </w:t>
            </w:r>
            <w:r>
              <w:rPr>
                <w:rFonts w:eastAsia="Arial"/>
              </w:rPr>
              <w:t>that will be provided to the communities identified in the Application Form (Attachment 01). The description should address the following questions:</w:t>
            </w:r>
          </w:p>
          <w:p w14:paraId="4E21EFD4" w14:textId="6F1E9F3E" w:rsidR="00674AE1" w:rsidRDefault="00674AE1" w:rsidP="00674AE1">
            <w:pPr>
              <w:pStyle w:val="ListParagraph"/>
              <w:numPr>
                <w:ilvl w:val="0"/>
                <w:numId w:val="54"/>
              </w:numPr>
              <w:ind w:left="1140"/>
              <w:contextualSpacing w:val="0"/>
            </w:pPr>
            <w:r>
              <w:t>What benefit(s) will the project provide? (Benefit examples</w:t>
            </w:r>
            <w:r w:rsidDel="00786F6E">
              <w:t xml:space="preserve"> </w:t>
            </w:r>
            <w:r>
              <w:t>can be found in Section II.B.8</w:t>
            </w:r>
            <w:r w:rsidR="0069301D">
              <w:t>.b</w:t>
            </w:r>
            <w:r>
              <w:t xml:space="preserve"> “</w:t>
            </w:r>
            <w:r w:rsidR="00BA0157">
              <w:t>Vulnerable Populations and (Severely) Disadvantaged Communities.</w:t>
            </w:r>
            <w:r>
              <w:t>”)</w:t>
            </w:r>
          </w:p>
          <w:p w14:paraId="06FA75D4" w14:textId="77777777" w:rsidR="00674AE1" w:rsidRDefault="00674AE1" w:rsidP="00674AE1">
            <w:pPr>
              <w:pStyle w:val="ListParagraph"/>
              <w:numPr>
                <w:ilvl w:val="0"/>
                <w:numId w:val="54"/>
              </w:numPr>
              <w:ind w:left="1140"/>
              <w:contextualSpacing w:val="0"/>
            </w:pPr>
            <w:r w:rsidRPr="005C77D3">
              <w:t xml:space="preserve">Which communities </w:t>
            </w:r>
            <w:r>
              <w:t>or populations</w:t>
            </w:r>
            <w:r w:rsidRPr="005C77D3">
              <w:t xml:space="preserve"> </w:t>
            </w:r>
            <w:r>
              <w:t>will receive the project benefits and are these a DAC, SDAC, or vulnerable population?</w:t>
            </w:r>
          </w:p>
          <w:p w14:paraId="51870960" w14:textId="77777777" w:rsidR="00674AE1" w:rsidRDefault="00674AE1" w:rsidP="00674AE1">
            <w:pPr>
              <w:pStyle w:val="ListParagraph"/>
              <w:numPr>
                <w:ilvl w:val="0"/>
                <w:numId w:val="54"/>
              </w:numPr>
              <w:ind w:left="1140"/>
              <w:contextualSpacing w:val="0"/>
            </w:pPr>
            <w:r>
              <w:lastRenderedPageBreak/>
              <w:t>Are the anticipated project benefits “meaningful and direct” to (S)DAC or vulnerable populations?</w:t>
            </w:r>
          </w:p>
          <w:p w14:paraId="447F8D07" w14:textId="77777777" w:rsidR="00674AE1" w:rsidRDefault="00674AE1">
            <w:pPr>
              <w:outlineLvl w:val="2"/>
            </w:pPr>
            <w:r w:rsidRPr="000C4C76">
              <w:t>Applicants</w:t>
            </w:r>
            <w:r>
              <w:t xml:space="preserve"> may</w:t>
            </w:r>
            <w:r w:rsidRPr="000C4C76">
              <w:t xml:space="preserve"> </w:t>
            </w:r>
            <w:r>
              <w:t>submit</w:t>
            </w:r>
            <w:r w:rsidRPr="000C4C76">
              <w:t xml:space="preserve"> </w:t>
            </w:r>
            <w:r>
              <w:t>Letters</w:t>
            </w:r>
            <w:r w:rsidRPr="000C4C76">
              <w:t xml:space="preserve"> of </w:t>
            </w:r>
            <w:r>
              <w:t>S</w:t>
            </w:r>
            <w:r w:rsidRPr="000C4C76">
              <w:t xml:space="preserve">upport from community-based organizations, tribes, workforce development stakeholders, environmental justice organizations, or other partners </w:t>
            </w:r>
            <w:r>
              <w:t>to</w:t>
            </w:r>
            <w:r w:rsidRPr="000C4C76">
              <w:t xml:space="preserve"> demonstrate </w:t>
            </w:r>
            <w:r>
              <w:t>how the project</w:t>
            </w:r>
            <w:r w:rsidRPr="000C4C76">
              <w:t xml:space="preserve"> will </w:t>
            </w:r>
            <w:r>
              <w:t>provide direct and meaningful benefits</w:t>
            </w:r>
            <w:r w:rsidRPr="000C4C76">
              <w:t>. </w:t>
            </w:r>
          </w:p>
          <w:p w14:paraId="6C52279F" w14:textId="77777777" w:rsidR="00674AE1" w:rsidRDefault="00674AE1">
            <w:pPr>
              <w:outlineLvl w:val="2"/>
            </w:pPr>
            <w:r w:rsidRPr="4A4EC920">
              <w:rPr>
                <w:rFonts w:eastAsia="Arial"/>
                <w:color w:val="000000" w:themeColor="text1"/>
              </w:rPr>
              <w:t xml:space="preserve">If seeking preference points for benefits to vulnerable populations, </w:t>
            </w:r>
            <w:r>
              <w:rPr>
                <w:rFonts w:eastAsia="Arial"/>
                <w:color w:val="000000" w:themeColor="text1"/>
              </w:rPr>
              <w:t xml:space="preserve">Applicants must generate and submit with the application a report (using the VCP Report Generator) demonstrating that qualifying communities meet the VCP requirements. </w:t>
            </w:r>
          </w:p>
          <w:p w14:paraId="4CE70EB5" w14:textId="77777777" w:rsidR="00731642" w:rsidRDefault="00674AE1">
            <w:pPr>
              <w:outlineLvl w:val="2"/>
              <w:rPr>
                <w:rFonts w:eastAsia="Arial"/>
              </w:rPr>
            </w:pPr>
            <w:r>
              <w:rPr>
                <w:rFonts w:eastAsia="Arial"/>
              </w:rPr>
              <w:t xml:space="preserve">Scoring considerations: Preference points will be awarded </w:t>
            </w:r>
            <w:r w:rsidRPr="377A37D6">
              <w:rPr>
                <w:rFonts w:eastAsia="Arial"/>
              </w:rPr>
              <w:t xml:space="preserve">based on the </w:t>
            </w:r>
            <w:r w:rsidRPr="377A37D6">
              <w:rPr>
                <w:rFonts w:eastAsia="Arial"/>
                <w:u w:val="single"/>
              </w:rPr>
              <w:t>highest scoring category only</w:t>
            </w:r>
            <w:r w:rsidRPr="377A37D6">
              <w:rPr>
                <w:rFonts w:eastAsia="Arial"/>
              </w:rPr>
              <w:t>. Categories will not be added or averaged.</w:t>
            </w:r>
            <w:r>
              <w:rPr>
                <w:rFonts w:eastAsia="Arial"/>
              </w:rPr>
              <w:t xml:space="preserve"> </w:t>
            </w:r>
          </w:p>
          <w:p w14:paraId="567F7110" w14:textId="75FFF8F8" w:rsidR="00DC67C7" w:rsidRDefault="0055327D">
            <w:pPr>
              <w:outlineLvl w:val="2"/>
              <w:rPr>
                <w:rFonts w:eastAsia="Arial"/>
              </w:rPr>
            </w:pPr>
            <w:r>
              <w:rPr>
                <w:rFonts w:eastAsia="Arial"/>
              </w:rPr>
              <w:t xml:space="preserve">Multiple locations: </w:t>
            </w:r>
            <w:r w:rsidR="00731642">
              <w:rPr>
                <w:rFonts w:eastAsia="Arial"/>
              </w:rPr>
              <w:t>For</w:t>
            </w:r>
            <w:r w:rsidR="0067523A">
              <w:rPr>
                <w:rFonts w:eastAsia="Arial"/>
              </w:rPr>
              <w:t xml:space="preserve"> application</w:t>
            </w:r>
            <w:r w:rsidR="00731642">
              <w:rPr>
                <w:rFonts w:eastAsia="Arial"/>
              </w:rPr>
              <w:t>s</w:t>
            </w:r>
            <w:r w:rsidR="0067523A">
              <w:rPr>
                <w:rFonts w:eastAsia="Arial"/>
              </w:rPr>
              <w:t xml:space="preserve"> </w:t>
            </w:r>
            <w:r w:rsidR="00326CF3">
              <w:rPr>
                <w:rFonts w:eastAsia="Arial"/>
              </w:rPr>
              <w:t>propos</w:t>
            </w:r>
            <w:r w:rsidR="00731642">
              <w:rPr>
                <w:rFonts w:eastAsia="Arial"/>
              </w:rPr>
              <w:t>ing</w:t>
            </w:r>
            <w:r w:rsidR="00326CF3">
              <w:rPr>
                <w:rFonts w:eastAsia="Arial"/>
              </w:rPr>
              <w:t xml:space="preserve"> </w:t>
            </w:r>
            <w:r w:rsidR="0067523A">
              <w:rPr>
                <w:rFonts w:eastAsia="Arial"/>
              </w:rPr>
              <w:t xml:space="preserve">multiple locations </w:t>
            </w:r>
            <w:r w:rsidR="00E27D0E">
              <w:rPr>
                <w:rFonts w:eastAsia="Arial"/>
              </w:rPr>
              <w:t xml:space="preserve">where some, but not all, subprojects </w:t>
            </w:r>
            <w:r w:rsidR="00326CF3">
              <w:rPr>
                <w:rFonts w:eastAsia="Arial"/>
              </w:rPr>
              <w:t>benefit</w:t>
            </w:r>
            <w:r w:rsidR="00E27D0E">
              <w:rPr>
                <w:rFonts w:eastAsia="Arial"/>
              </w:rPr>
              <w:t xml:space="preserve"> qualifying communit</w:t>
            </w:r>
            <w:r w:rsidR="00326CF3">
              <w:rPr>
                <w:rFonts w:eastAsia="Arial"/>
              </w:rPr>
              <w:t>ie</w:t>
            </w:r>
            <w:r w:rsidR="00731642">
              <w:rPr>
                <w:rFonts w:eastAsia="Arial"/>
              </w:rPr>
              <w:t xml:space="preserve">s, then either: 1) full points </w:t>
            </w:r>
            <w:r w:rsidR="00BF5DB5">
              <w:rPr>
                <w:rFonts w:eastAsia="Arial"/>
              </w:rPr>
              <w:t>will be awarded</w:t>
            </w:r>
            <w:r w:rsidR="00731642">
              <w:rPr>
                <w:rFonts w:eastAsia="Arial"/>
              </w:rPr>
              <w:t xml:space="preserve"> for the applicable category if </w:t>
            </w:r>
            <w:r w:rsidR="00731642" w:rsidRPr="002A6359">
              <w:rPr>
                <w:rFonts w:eastAsia="Arial"/>
                <w:u w:val="single"/>
              </w:rPr>
              <w:t>&gt;</w:t>
            </w:r>
            <w:r w:rsidR="00731642">
              <w:rPr>
                <w:rFonts w:eastAsia="Arial"/>
              </w:rPr>
              <w:t xml:space="preserve">50% of the subprojects demonstrate </w:t>
            </w:r>
            <w:r w:rsidR="00AC1223">
              <w:rPr>
                <w:rFonts w:eastAsia="Arial"/>
              </w:rPr>
              <w:t xml:space="preserve">direct and meaningful </w:t>
            </w:r>
            <w:r w:rsidR="00731642">
              <w:rPr>
                <w:rFonts w:eastAsia="Arial"/>
              </w:rPr>
              <w:t xml:space="preserve">benefits to qualifying communities; 2) half </w:t>
            </w:r>
            <w:r w:rsidR="006F7B21">
              <w:rPr>
                <w:rFonts w:eastAsia="Arial"/>
              </w:rPr>
              <w:t xml:space="preserve">the </w:t>
            </w:r>
            <w:r w:rsidR="00731642">
              <w:rPr>
                <w:rFonts w:eastAsia="Arial"/>
              </w:rPr>
              <w:t xml:space="preserve">points </w:t>
            </w:r>
            <w:r w:rsidR="006F7B21">
              <w:rPr>
                <w:rFonts w:eastAsia="Arial"/>
              </w:rPr>
              <w:t xml:space="preserve">will be awarded </w:t>
            </w:r>
            <w:r w:rsidR="00731642">
              <w:rPr>
                <w:rFonts w:eastAsia="Arial"/>
              </w:rPr>
              <w:t xml:space="preserve">for the applicable category if &lt;50% of the subprojects demonstrate </w:t>
            </w:r>
            <w:r w:rsidR="00FB3873">
              <w:rPr>
                <w:rFonts w:eastAsia="Arial"/>
              </w:rPr>
              <w:t xml:space="preserve">direct and meaningful </w:t>
            </w:r>
            <w:r w:rsidR="00731642">
              <w:rPr>
                <w:rFonts w:eastAsia="Arial"/>
              </w:rPr>
              <w:t xml:space="preserve">benefits to qualifying communities. </w:t>
            </w:r>
          </w:p>
          <w:p w14:paraId="26C6F60D" w14:textId="5434DA38" w:rsidR="00674AE1" w:rsidRDefault="00674AE1">
            <w:pPr>
              <w:outlineLvl w:val="2"/>
              <w:rPr>
                <w:rFonts w:eastAsia="Arial"/>
              </w:rPr>
            </w:pPr>
            <w:r>
              <w:rPr>
                <w:rFonts w:eastAsia="Arial"/>
              </w:rPr>
              <w:t xml:space="preserve">If applicable, the </w:t>
            </w:r>
            <w:r w:rsidR="00731642">
              <w:rPr>
                <w:rFonts w:eastAsia="Arial"/>
              </w:rPr>
              <w:t>range of</w:t>
            </w:r>
            <w:r>
              <w:rPr>
                <w:rFonts w:eastAsia="Arial"/>
              </w:rPr>
              <w:t xml:space="preserve"> score</w:t>
            </w:r>
            <w:r w:rsidR="00731642">
              <w:rPr>
                <w:rFonts w:eastAsia="Arial"/>
              </w:rPr>
              <w:t>s</w:t>
            </w:r>
            <w:r>
              <w:rPr>
                <w:rFonts w:eastAsia="Arial"/>
              </w:rPr>
              <w:t xml:space="preserve"> possible under this criterion are 10</w:t>
            </w:r>
            <w:r w:rsidR="00731642">
              <w:rPr>
                <w:rFonts w:eastAsia="Arial"/>
              </w:rPr>
              <w:t>,</w:t>
            </w:r>
            <w:r>
              <w:rPr>
                <w:rFonts w:eastAsia="Arial"/>
              </w:rPr>
              <w:t xml:space="preserve"> 5</w:t>
            </w:r>
            <w:r w:rsidR="00731642">
              <w:rPr>
                <w:rFonts w:eastAsia="Arial"/>
              </w:rPr>
              <w:t>, and 2.5</w:t>
            </w:r>
            <w:r>
              <w:rPr>
                <w:rFonts w:eastAsia="Arial"/>
              </w:rPr>
              <w:t>.</w:t>
            </w:r>
          </w:p>
          <w:p w14:paraId="39DA0ACB" w14:textId="6DBC500A" w:rsidR="00674AE1" w:rsidRDefault="00674AE1">
            <w:pPr>
              <w:outlineLvl w:val="2"/>
              <w:rPr>
                <w:rFonts w:eastAsia="Arial"/>
              </w:rPr>
            </w:pPr>
            <w:r w:rsidRPr="377A37D6">
              <w:rPr>
                <w:rFonts w:eastAsia="Arial"/>
              </w:rPr>
              <w:t>Example</w:t>
            </w:r>
            <w:r w:rsidR="0053549C">
              <w:rPr>
                <w:rFonts w:eastAsia="Arial"/>
              </w:rPr>
              <w:t xml:space="preserve"> 1</w:t>
            </w:r>
            <w:r w:rsidRPr="377A37D6">
              <w:rPr>
                <w:rFonts w:eastAsia="Arial"/>
              </w:rPr>
              <w:t xml:space="preserve">: an Applicant </w:t>
            </w:r>
            <w:r w:rsidR="00C52F79">
              <w:rPr>
                <w:rFonts w:eastAsia="Arial"/>
              </w:rPr>
              <w:t xml:space="preserve">proposing a single project site location </w:t>
            </w:r>
            <w:r w:rsidRPr="377A37D6">
              <w:rPr>
                <w:rFonts w:eastAsia="Arial"/>
              </w:rPr>
              <w:t>demonstrat</w:t>
            </w:r>
            <w:r w:rsidR="00C52F79">
              <w:rPr>
                <w:rFonts w:eastAsia="Arial"/>
              </w:rPr>
              <w:t>es</w:t>
            </w:r>
            <w:r w:rsidRPr="377A37D6">
              <w:rPr>
                <w:rFonts w:eastAsia="Arial"/>
              </w:rPr>
              <w:t xml:space="preserve"> benefits to a </w:t>
            </w:r>
            <w:r>
              <w:rPr>
                <w:rFonts w:eastAsia="Arial"/>
              </w:rPr>
              <w:t>vulnerable population</w:t>
            </w:r>
            <w:r w:rsidRPr="377A37D6">
              <w:rPr>
                <w:rFonts w:eastAsia="Arial"/>
              </w:rPr>
              <w:t xml:space="preserve"> (10 points) </w:t>
            </w:r>
            <w:r w:rsidRPr="007D4800">
              <w:rPr>
                <w:rFonts w:eastAsia="Arial"/>
                <w:u w:val="single"/>
              </w:rPr>
              <w:t>and</w:t>
            </w:r>
            <w:r w:rsidRPr="377A37D6">
              <w:rPr>
                <w:rFonts w:eastAsia="Arial"/>
              </w:rPr>
              <w:t xml:space="preserve"> a DAC (5 points) </w:t>
            </w:r>
            <w:r>
              <w:rPr>
                <w:rFonts w:eastAsia="Arial"/>
              </w:rPr>
              <w:t>is eligible to</w:t>
            </w:r>
            <w:r w:rsidRPr="377A37D6">
              <w:rPr>
                <w:rFonts w:eastAsia="Arial"/>
              </w:rPr>
              <w:t xml:space="preserve"> receive a </w:t>
            </w:r>
            <w:r>
              <w:rPr>
                <w:rFonts w:eastAsia="Arial"/>
              </w:rPr>
              <w:t>maximum</w:t>
            </w:r>
            <w:r w:rsidRPr="377A37D6">
              <w:rPr>
                <w:rFonts w:eastAsia="Arial"/>
              </w:rPr>
              <w:t xml:space="preserve"> total of 10 points, based on the </w:t>
            </w:r>
            <w:r w:rsidRPr="007D4800">
              <w:rPr>
                <w:rFonts w:eastAsia="Arial"/>
                <w:u w:val="single"/>
              </w:rPr>
              <w:t>highest scoring category only</w:t>
            </w:r>
            <w:r w:rsidRPr="377A37D6">
              <w:rPr>
                <w:rFonts w:eastAsia="Arial"/>
              </w:rPr>
              <w:t xml:space="preserve">. </w:t>
            </w:r>
          </w:p>
          <w:p w14:paraId="1CF8BA21" w14:textId="1DA43901" w:rsidR="00A06579" w:rsidRDefault="0053549C">
            <w:pPr>
              <w:outlineLvl w:val="2"/>
              <w:rPr>
                <w:rFonts w:eastAsia="Arial"/>
              </w:rPr>
            </w:pPr>
            <w:r>
              <w:rPr>
                <w:rFonts w:eastAsia="Arial"/>
              </w:rPr>
              <w:t xml:space="preserve">Example 2: an Applicant proposing multiple </w:t>
            </w:r>
            <w:r w:rsidR="00EF2640">
              <w:rPr>
                <w:rFonts w:eastAsia="Arial"/>
              </w:rPr>
              <w:t xml:space="preserve">locations where </w:t>
            </w:r>
            <w:r w:rsidR="00723F2D">
              <w:rPr>
                <w:rFonts w:eastAsia="Arial"/>
              </w:rPr>
              <w:t>40</w:t>
            </w:r>
            <w:r w:rsidR="00BE61AD">
              <w:rPr>
                <w:rFonts w:eastAsia="Arial"/>
              </w:rPr>
              <w:t>% of the subprojects benefit a SDAC (</w:t>
            </w:r>
            <w:r w:rsidR="00AD661F">
              <w:rPr>
                <w:rFonts w:eastAsia="Arial"/>
              </w:rPr>
              <w:t>5</w:t>
            </w:r>
            <w:r w:rsidR="00BE61AD">
              <w:rPr>
                <w:rFonts w:eastAsia="Arial"/>
              </w:rPr>
              <w:t xml:space="preserve"> points)</w:t>
            </w:r>
            <w:r w:rsidR="0018469F">
              <w:rPr>
                <w:rFonts w:eastAsia="Arial"/>
              </w:rPr>
              <w:t xml:space="preserve">, </w:t>
            </w:r>
            <w:r w:rsidR="005748F3">
              <w:rPr>
                <w:rFonts w:eastAsia="Arial"/>
              </w:rPr>
              <w:t>30</w:t>
            </w:r>
            <w:r w:rsidR="00BE61AD">
              <w:rPr>
                <w:rFonts w:eastAsia="Arial"/>
              </w:rPr>
              <w:t>% of the subprojects benefit a DAC (</w:t>
            </w:r>
            <w:r w:rsidR="00F71078">
              <w:rPr>
                <w:rFonts w:eastAsia="Arial"/>
              </w:rPr>
              <w:t>2.</w:t>
            </w:r>
            <w:r w:rsidR="00BE61AD">
              <w:rPr>
                <w:rFonts w:eastAsia="Arial"/>
              </w:rPr>
              <w:t>5 points)</w:t>
            </w:r>
            <w:r w:rsidR="0018469F">
              <w:rPr>
                <w:rFonts w:eastAsia="Arial"/>
              </w:rPr>
              <w:t xml:space="preserve">, and </w:t>
            </w:r>
            <w:r w:rsidR="005748F3">
              <w:rPr>
                <w:rFonts w:eastAsia="Arial"/>
              </w:rPr>
              <w:t>30</w:t>
            </w:r>
            <w:r w:rsidR="0018469F">
              <w:rPr>
                <w:rFonts w:eastAsia="Arial"/>
              </w:rPr>
              <w:t>% do no</w:t>
            </w:r>
            <w:r w:rsidR="008E6E37">
              <w:rPr>
                <w:rFonts w:eastAsia="Arial"/>
              </w:rPr>
              <w:t>t</w:t>
            </w:r>
            <w:r w:rsidR="0018469F">
              <w:rPr>
                <w:rFonts w:eastAsia="Arial"/>
              </w:rPr>
              <w:t xml:space="preserve"> provide benefits to qualifying communities</w:t>
            </w:r>
            <w:r w:rsidR="00BE61AD">
              <w:rPr>
                <w:rFonts w:eastAsia="Arial"/>
              </w:rPr>
              <w:t xml:space="preserve"> </w:t>
            </w:r>
            <w:r w:rsidR="008C0B12">
              <w:rPr>
                <w:rFonts w:eastAsia="Arial"/>
              </w:rPr>
              <w:t xml:space="preserve">is eligible to receive a total of </w:t>
            </w:r>
            <w:r w:rsidR="00E0031C">
              <w:rPr>
                <w:rFonts w:eastAsia="Arial"/>
              </w:rPr>
              <w:t>5</w:t>
            </w:r>
            <w:r w:rsidR="008C0B12">
              <w:rPr>
                <w:rFonts w:eastAsia="Arial"/>
              </w:rPr>
              <w:t xml:space="preserve"> points.</w:t>
            </w:r>
            <w:r w:rsidR="00C34074">
              <w:rPr>
                <w:rFonts w:eastAsia="Arial"/>
              </w:rPr>
              <w:t xml:space="preserve"> </w:t>
            </w:r>
          </w:p>
          <w:p w14:paraId="31CD0E62" w14:textId="7EF68B99" w:rsidR="00B44F75" w:rsidRDefault="00A06579">
            <w:pPr>
              <w:outlineLvl w:val="2"/>
              <w:rPr>
                <w:rFonts w:eastAsia="Arial"/>
              </w:rPr>
            </w:pPr>
            <w:r>
              <w:rPr>
                <w:rFonts w:eastAsia="Arial"/>
              </w:rPr>
              <w:t>Example 3</w:t>
            </w:r>
            <w:r w:rsidR="006F1577">
              <w:rPr>
                <w:rFonts w:eastAsia="Arial"/>
              </w:rPr>
              <w:t>:</w:t>
            </w:r>
            <w:r>
              <w:rPr>
                <w:rFonts w:eastAsia="Arial"/>
              </w:rPr>
              <w:t xml:space="preserve"> a</w:t>
            </w:r>
            <w:r w:rsidR="00C34074">
              <w:rPr>
                <w:rFonts w:eastAsia="Arial"/>
              </w:rPr>
              <w:t xml:space="preserve">n </w:t>
            </w:r>
            <w:r>
              <w:rPr>
                <w:rFonts w:eastAsia="Arial"/>
              </w:rPr>
              <w:t>A</w:t>
            </w:r>
            <w:r w:rsidR="00C34074">
              <w:rPr>
                <w:rFonts w:eastAsia="Arial"/>
              </w:rPr>
              <w:t>pplican</w:t>
            </w:r>
            <w:r w:rsidR="00970A91">
              <w:rPr>
                <w:rFonts w:eastAsia="Arial"/>
              </w:rPr>
              <w:t>t proposing multiple locations</w:t>
            </w:r>
            <w:r w:rsidR="00C34074">
              <w:rPr>
                <w:rFonts w:eastAsia="Arial"/>
              </w:rPr>
              <w:t xml:space="preserve"> where </w:t>
            </w:r>
            <w:r w:rsidR="00E511B6">
              <w:rPr>
                <w:rFonts w:eastAsia="Arial"/>
              </w:rPr>
              <w:t>25% of the subprojects benefit a DAC</w:t>
            </w:r>
            <w:r w:rsidR="00D53D82">
              <w:rPr>
                <w:rFonts w:eastAsia="Arial"/>
              </w:rPr>
              <w:t xml:space="preserve"> (2.5 points)</w:t>
            </w:r>
            <w:r w:rsidR="00E511B6">
              <w:rPr>
                <w:rFonts w:eastAsia="Arial"/>
              </w:rPr>
              <w:t xml:space="preserve"> and 75% of the subprojects do not provide benefits to qualifying communities is eligible to receive a total of 2.5 points.</w:t>
            </w:r>
          </w:p>
          <w:p w14:paraId="7926AB17" w14:textId="77777777" w:rsidR="00B44F75" w:rsidRDefault="00B44F75">
            <w:pPr>
              <w:outlineLvl w:val="2"/>
              <w:rPr>
                <w:rFonts w:eastAsia="Arial"/>
              </w:rPr>
            </w:pPr>
          </w:p>
          <w:tbl>
            <w:tblPr>
              <w:tblW w:w="8237" w:type="dxa"/>
              <w:jc w:val="center"/>
              <w:tblLook w:val="04A0" w:firstRow="1" w:lastRow="0" w:firstColumn="1" w:lastColumn="0" w:noHBand="0" w:noVBand="1"/>
            </w:tblPr>
            <w:tblGrid>
              <w:gridCol w:w="4415"/>
              <w:gridCol w:w="2790"/>
              <w:gridCol w:w="1032"/>
            </w:tblGrid>
            <w:tr w:rsidR="00674AE1" w:rsidRPr="00566CAB" w14:paraId="46FBBA84" w14:textId="77777777" w:rsidTr="00F33BFA">
              <w:trPr>
                <w:trHeight w:val="290"/>
                <w:jc w:val="center"/>
              </w:trPr>
              <w:tc>
                <w:tcPr>
                  <w:tcW w:w="4415" w:type="dxa"/>
                  <w:tcBorders>
                    <w:top w:val="single" w:sz="4" w:space="0" w:color="auto"/>
                    <w:left w:val="single" w:sz="4" w:space="0" w:color="auto"/>
                    <w:bottom w:val="single" w:sz="4" w:space="0" w:color="auto"/>
                    <w:right w:val="single" w:sz="4" w:space="0" w:color="auto"/>
                  </w:tcBorders>
                  <w:noWrap/>
                  <w:vAlign w:val="bottom"/>
                  <w:hideMark/>
                </w:tcPr>
                <w:p w14:paraId="7CDCDED1" w14:textId="77777777" w:rsidR="00674AE1" w:rsidRPr="00566CAB" w:rsidRDefault="00674AE1">
                  <w:pPr>
                    <w:spacing w:after="0"/>
                    <w:rPr>
                      <w:b/>
                      <w:bCs/>
                      <w:color w:val="000000"/>
                      <w:szCs w:val="22"/>
                    </w:rPr>
                  </w:pPr>
                  <w:r w:rsidRPr="00566CAB">
                    <w:rPr>
                      <w:b/>
                      <w:bCs/>
                      <w:color w:val="000000"/>
                      <w:szCs w:val="22"/>
                    </w:rPr>
                    <w:lastRenderedPageBreak/>
                    <w:t>Community Category</w:t>
                  </w:r>
                </w:p>
              </w:tc>
              <w:tc>
                <w:tcPr>
                  <w:tcW w:w="2790" w:type="dxa"/>
                  <w:tcBorders>
                    <w:top w:val="single" w:sz="4" w:space="0" w:color="auto"/>
                    <w:left w:val="nil"/>
                    <w:bottom w:val="single" w:sz="4" w:space="0" w:color="auto"/>
                    <w:right w:val="single" w:sz="4" w:space="0" w:color="auto"/>
                  </w:tcBorders>
                </w:tcPr>
                <w:p w14:paraId="442EF200" w14:textId="0DA1EC5B" w:rsidR="00154A04" w:rsidRPr="00AE2024" w:rsidRDefault="00AE2024">
                  <w:pPr>
                    <w:spacing w:after="0"/>
                    <w:rPr>
                      <w:color w:val="000000"/>
                      <w:szCs w:val="22"/>
                    </w:rPr>
                  </w:pPr>
                  <w:r>
                    <w:rPr>
                      <w:b/>
                      <w:bCs/>
                      <w:color w:val="000000"/>
                      <w:szCs w:val="22"/>
                    </w:rPr>
                    <w:t>% Subprojects Providing Benefits</w:t>
                  </w:r>
                </w:p>
              </w:tc>
              <w:tc>
                <w:tcPr>
                  <w:tcW w:w="1032" w:type="dxa"/>
                  <w:tcBorders>
                    <w:top w:val="single" w:sz="4" w:space="0" w:color="auto"/>
                    <w:left w:val="single" w:sz="4" w:space="0" w:color="auto"/>
                    <w:bottom w:val="single" w:sz="4" w:space="0" w:color="auto"/>
                    <w:right w:val="single" w:sz="4" w:space="0" w:color="auto"/>
                  </w:tcBorders>
                  <w:noWrap/>
                  <w:vAlign w:val="bottom"/>
                  <w:hideMark/>
                </w:tcPr>
                <w:p w14:paraId="405CE64C" w14:textId="0FFEFCA5" w:rsidR="00674AE1" w:rsidRPr="00566CAB" w:rsidRDefault="00674AE1">
                  <w:pPr>
                    <w:spacing w:after="0"/>
                    <w:rPr>
                      <w:b/>
                      <w:bCs/>
                      <w:color w:val="000000"/>
                      <w:szCs w:val="22"/>
                    </w:rPr>
                  </w:pPr>
                  <w:r w:rsidRPr="00566CAB">
                    <w:rPr>
                      <w:b/>
                      <w:bCs/>
                      <w:color w:val="000000"/>
                      <w:szCs w:val="22"/>
                    </w:rPr>
                    <w:t>Score</w:t>
                  </w:r>
                </w:p>
              </w:tc>
            </w:tr>
            <w:tr w:rsidR="00674AE1" w:rsidRPr="00566CAB" w14:paraId="1A743F06" w14:textId="77777777" w:rsidTr="00F33BFA">
              <w:trPr>
                <w:trHeight w:val="290"/>
                <w:jc w:val="center"/>
              </w:trPr>
              <w:tc>
                <w:tcPr>
                  <w:tcW w:w="4415" w:type="dxa"/>
                  <w:tcBorders>
                    <w:top w:val="nil"/>
                    <w:left w:val="single" w:sz="4" w:space="0" w:color="auto"/>
                    <w:bottom w:val="single" w:sz="4" w:space="0" w:color="auto"/>
                    <w:right w:val="single" w:sz="4" w:space="0" w:color="auto"/>
                  </w:tcBorders>
                  <w:noWrap/>
                  <w:vAlign w:val="bottom"/>
                </w:tcPr>
                <w:p w14:paraId="422F29AD" w14:textId="0AA46A91" w:rsidR="00674AE1" w:rsidRPr="00566CAB" w:rsidRDefault="00956DC3">
                  <w:pPr>
                    <w:spacing w:after="0"/>
                    <w:rPr>
                      <w:color w:val="000000"/>
                      <w:szCs w:val="22"/>
                    </w:rPr>
                  </w:pPr>
                  <w:r w:rsidRPr="00566CAB">
                    <w:rPr>
                      <w:color w:val="000000"/>
                      <w:szCs w:val="22"/>
                    </w:rPr>
                    <w:t>Vulnerable Population</w:t>
                  </w:r>
                  <w:r>
                    <w:rPr>
                      <w:color w:val="000000"/>
                      <w:szCs w:val="22"/>
                    </w:rPr>
                    <w:t xml:space="preserve"> </w:t>
                  </w:r>
                  <w:r w:rsidR="00737E10">
                    <w:rPr>
                      <w:color w:val="000000"/>
                      <w:szCs w:val="22"/>
                    </w:rPr>
                    <w:t xml:space="preserve">and/or </w:t>
                  </w:r>
                  <w:r w:rsidR="00737E10" w:rsidRPr="00566CAB">
                    <w:rPr>
                      <w:color w:val="000000"/>
                      <w:szCs w:val="22"/>
                    </w:rPr>
                    <w:t>Severely Disadvant</w:t>
                  </w:r>
                  <w:r w:rsidR="00737E10">
                    <w:rPr>
                      <w:color w:val="000000"/>
                      <w:szCs w:val="22"/>
                    </w:rPr>
                    <w:t>ag</w:t>
                  </w:r>
                  <w:r w:rsidR="00737E10" w:rsidRPr="00566CAB">
                    <w:rPr>
                      <w:color w:val="000000"/>
                      <w:szCs w:val="22"/>
                    </w:rPr>
                    <w:t>ed Community</w:t>
                  </w:r>
                  <w:r w:rsidR="00737E10">
                    <w:rPr>
                      <w:color w:val="000000"/>
                      <w:szCs w:val="22"/>
                    </w:rPr>
                    <w:t xml:space="preserve"> (SDAC)</w:t>
                  </w:r>
                </w:p>
              </w:tc>
              <w:tc>
                <w:tcPr>
                  <w:tcW w:w="2790" w:type="dxa"/>
                  <w:tcBorders>
                    <w:top w:val="single" w:sz="4" w:space="0" w:color="auto"/>
                    <w:left w:val="nil"/>
                    <w:bottom w:val="single" w:sz="4" w:space="0" w:color="auto"/>
                    <w:right w:val="single" w:sz="4" w:space="0" w:color="auto"/>
                  </w:tcBorders>
                </w:tcPr>
                <w:p w14:paraId="0BB4B287" w14:textId="688BF253" w:rsidR="00643357" w:rsidRPr="002A6359" w:rsidRDefault="00643357">
                  <w:pPr>
                    <w:spacing w:after="0"/>
                    <w:rPr>
                      <w:color w:val="000000"/>
                      <w:szCs w:val="22"/>
                      <w:u w:val="single"/>
                    </w:rPr>
                  </w:pPr>
                  <w:r w:rsidRPr="002A6359">
                    <w:rPr>
                      <w:color w:val="000000"/>
                      <w:szCs w:val="22"/>
                      <w:u w:val="single"/>
                    </w:rPr>
                    <w:t>&gt;</w:t>
                  </w:r>
                  <w:r>
                    <w:rPr>
                      <w:color w:val="000000"/>
                      <w:szCs w:val="22"/>
                    </w:rPr>
                    <w:t>50%</w:t>
                  </w:r>
                </w:p>
              </w:tc>
              <w:tc>
                <w:tcPr>
                  <w:tcW w:w="1032" w:type="dxa"/>
                  <w:tcBorders>
                    <w:top w:val="nil"/>
                    <w:left w:val="single" w:sz="4" w:space="0" w:color="auto"/>
                    <w:bottom w:val="single" w:sz="4" w:space="0" w:color="auto"/>
                    <w:right w:val="single" w:sz="4" w:space="0" w:color="auto"/>
                  </w:tcBorders>
                  <w:noWrap/>
                  <w:vAlign w:val="bottom"/>
                </w:tcPr>
                <w:p w14:paraId="265EB5E1" w14:textId="2EA1AE9E" w:rsidR="00674AE1" w:rsidRDefault="00674AE1">
                  <w:pPr>
                    <w:spacing w:after="0"/>
                    <w:rPr>
                      <w:color w:val="000000"/>
                      <w:szCs w:val="22"/>
                    </w:rPr>
                  </w:pPr>
                  <w:r>
                    <w:rPr>
                      <w:color w:val="000000"/>
                      <w:szCs w:val="22"/>
                    </w:rPr>
                    <w:t>10</w:t>
                  </w:r>
                </w:p>
              </w:tc>
            </w:tr>
            <w:tr w:rsidR="001248DD" w:rsidRPr="00566CAB" w14:paraId="69DAA800" w14:textId="77777777" w:rsidTr="00F33BFA">
              <w:trPr>
                <w:trHeight w:val="290"/>
                <w:jc w:val="center"/>
              </w:trPr>
              <w:tc>
                <w:tcPr>
                  <w:tcW w:w="4415" w:type="dxa"/>
                  <w:tcBorders>
                    <w:top w:val="nil"/>
                    <w:left w:val="single" w:sz="4" w:space="0" w:color="auto"/>
                    <w:bottom w:val="single" w:sz="4" w:space="0" w:color="auto"/>
                    <w:right w:val="single" w:sz="4" w:space="0" w:color="auto"/>
                  </w:tcBorders>
                  <w:noWrap/>
                  <w:vAlign w:val="bottom"/>
                </w:tcPr>
                <w:p w14:paraId="07CCEB95" w14:textId="4026E23E" w:rsidR="001248DD" w:rsidRPr="00566CAB" w:rsidRDefault="00E406AC" w:rsidP="00F33BFA">
                  <w:pPr>
                    <w:spacing w:after="0"/>
                    <w:rPr>
                      <w:color w:val="000000"/>
                      <w:szCs w:val="22"/>
                    </w:rPr>
                  </w:pPr>
                  <w:r w:rsidRPr="00566CAB">
                    <w:rPr>
                      <w:color w:val="000000"/>
                      <w:szCs w:val="22"/>
                    </w:rPr>
                    <w:t>Vulnerable Population</w:t>
                  </w:r>
                  <w:r>
                    <w:rPr>
                      <w:color w:val="000000"/>
                      <w:szCs w:val="22"/>
                    </w:rPr>
                    <w:t xml:space="preserve"> and/or </w:t>
                  </w:r>
                  <w:r w:rsidRPr="00566CAB">
                    <w:rPr>
                      <w:color w:val="000000"/>
                      <w:szCs w:val="22"/>
                    </w:rPr>
                    <w:t>Severely Disadvant</w:t>
                  </w:r>
                  <w:r>
                    <w:rPr>
                      <w:color w:val="000000"/>
                      <w:szCs w:val="22"/>
                    </w:rPr>
                    <w:t>ag</w:t>
                  </w:r>
                  <w:r w:rsidRPr="00566CAB">
                    <w:rPr>
                      <w:color w:val="000000"/>
                      <w:szCs w:val="22"/>
                    </w:rPr>
                    <w:t>ed Community</w:t>
                  </w:r>
                  <w:r>
                    <w:rPr>
                      <w:color w:val="000000"/>
                      <w:szCs w:val="22"/>
                    </w:rPr>
                    <w:t xml:space="preserve"> (SDAC)</w:t>
                  </w:r>
                </w:p>
              </w:tc>
              <w:tc>
                <w:tcPr>
                  <w:tcW w:w="2790" w:type="dxa"/>
                  <w:tcBorders>
                    <w:top w:val="single" w:sz="4" w:space="0" w:color="auto"/>
                    <w:left w:val="nil"/>
                    <w:bottom w:val="single" w:sz="4" w:space="0" w:color="auto"/>
                    <w:right w:val="single" w:sz="4" w:space="0" w:color="auto"/>
                  </w:tcBorders>
                </w:tcPr>
                <w:p w14:paraId="5BB1E2B2" w14:textId="7F20E163" w:rsidR="002850F5" w:rsidRDefault="002850F5">
                  <w:pPr>
                    <w:spacing w:after="0"/>
                    <w:rPr>
                      <w:color w:val="000000"/>
                      <w:szCs w:val="22"/>
                    </w:rPr>
                  </w:pPr>
                  <w:r>
                    <w:rPr>
                      <w:rFonts w:eastAsia="Arial"/>
                    </w:rPr>
                    <w:t>&lt;50%</w:t>
                  </w:r>
                </w:p>
              </w:tc>
              <w:tc>
                <w:tcPr>
                  <w:tcW w:w="1032" w:type="dxa"/>
                  <w:tcBorders>
                    <w:top w:val="nil"/>
                    <w:left w:val="single" w:sz="4" w:space="0" w:color="auto"/>
                    <w:bottom w:val="single" w:sz="4" w:space="0" w:color="auto"/>
                    <w:right w:val="single" w:sz="4" w:space="0" w:color="auto"/>
                  </w:tcBorders>
                  <w:noWrap/>
                  <w:vAlign w:val="bottom"/>
                </w:tcPr>
                <w:p w14:paraId="5B767105" w14:textId="0BE7EE69" w:rsidR="001248DD" w:rsidRDefault="00455EAD">
                  <w:pPr>
                    <w:spacing w:after="0"/>
                    <w:rPr>
                      <w:color w:val="000000"/>
                      <w:szCs w:val="22"/>
                    </w:rPr>
                  </w:pPr>
                  <w:r>
                    <w:rPr>
                      <w:color w:val="000000"/>
                      <w:szCs w:val="22"/>
                    </w:rPr>
                    <w:t>5</w:t>
                  </w:r>
                </w:p>
              </w:tc>
            </w:tr>
            <w:tr w:rsidR="00674AE1" w:rsidRPr="00566CAB" w14:paraId="1F037063" w14:textId="77777777" w:rsidTr="00F33BFA">
              <w:trPr>
                <w:trHeight w:val="290"/>
                <w:jc w:val="center"/>
              </w:trPr>
              <w:tc>
                <w:tcPr>
                  <w:tcW w:w="4415" w:type="dxa"/>
                  <w:tcBorders>
                    <w:top w:val="single" w:sz="4" w:space="0" w:color="auto"/>
                    <w:left w:val="single" w:sz="4" w:space="0" w:color="auto"/>
                    <w:bottom w:val="single" w:sz="4" w:space="0" w:color="auto"/>
                    <w:right w:val="single" w:sz="4" w:space="0" w:color="auto"/>
                  </w:tcBorders>
                  <w:noWrap/>
                  <w:vAlign w:val="bottom"/>
                </w:tcPr>
                <w:p w14:paraId="4109B238" w14:textId="10A9D5C1" w:rsidR="00674AE1" w:rsidRPr="00566CAB" w:rsidRDefault="00674AE1">
                  <w:pPr>
                    <w:spacing w:after="0"/>
                    <w:rPr>
                      <w:color w:val="000000"/>
                    </w:rPr>
                  </w:pPr>
                  <w:r w:rsidRPr="0D999939">
                    <w:rPr>
                      <w:color w:val="000000" w:themeColor="text1"/>
                    </w:rPr>
                    <w:t>Disadvantaged Community (DAC)</w:t>
                  </w:r>
                  <w:r w:rsidR="00455EAD">
                    <w:rPr>
                      <w:color w:val="000000" w:themeColor="text1"/>
                    </w:rPr>
                    <w:t xml:space="preserve"> </w:t>
                  </w:r>
                </w:p>
              </w:tc>
              <w:tc>
                <w:tcPr>
                  <w:tcW w:w="2790" w:type="dxa"/>
                  <w:tcBorders>
                    <w:top w:val="single" w:sz="4" w:space="0" w:color="auto"/>
                    <w:left w:val="nil"/>
                    <w:bottom w:val="single" w:sz="4" w:space="0" w:color="auto"/>
                    <w:right w:val="single" w:sz="4" w:space="0" w:color="auto"/>
                  </w:tcBorders>
                </w:tcPr>
                <w:p w14:paraId="78D2EF1D" w14:textId="54597471" w:rsidR="002850F5" w:rsidRPr="002A6359" w:rsidRDefault="002850F5">
                  <w:pPr>
                    <w:spacing w:after="0"/>
                    <w:rPr>
                      <w:color w:val="000000"/>
                      <w:szCs w:val="22"/>
                      <w:u w:val="single"/>
                    </w:rPr>
                  </w:pPr>
                  <w:r w:rsidRPr="002A6359">
                    <w:rPr>
                      <w:color w:val="000000"/>
                      <w:szCs w:val="22"/>
                      <w:u w:val="single"/>
                    </w:rPr>
                    <w:t>&gt;</w:t>
                  </w:r>
                  <w:r>
                    <w:rPr>
                      <w:color w:val="000000"/>
                      <w:szCs w:val="22"/>
                    </w:rPr>
                    <w:t>50%</w:t>
                  </w:r>
                </w:p>
              </w:tc>
              <w:tc>
                <w:tcPr>
                  <w:tcW w:w="1032" w:type="dxa"/>
                  <w:tcBorders>
                    <w:top w:val="single" w:sz="4" w:space="0" w:color="auto"/>
                    <w:left w:val="single" w:sz="4" w:space="0" w:color="auto"/>
                    <w:bottom w:val="single" w:sz="4" w:space="0" w:color="auto"/>
                    <w:right w:val="single" w:sz="4" w:space="0" w:color="auto"/>
                  </w:tcBorders>
                  <w:noWrap/>
                  <w:vAlign w:val="bottom"/>
                </w:tcPr>
                <w:p w14:paraId="2C06E171" w14:textId="5177B7CC" w:rsidR="00674AE1" w:rsidDel="002343A1" w:rsidRDefault="00674AE1">
                  <w:pPr>
                    <w:spacing w:after="0"/>
                    <w:rPr>
                      <w:color w:val="000000"/>
                    </w:rPr>
                  </w:pPr>
                  <w:r w:rsidRPr="0D999939">
                    <w:rPr>
                      <w:color w:val="000000" w:themeColor="text1"/>
                    </w:rPr>
                    <w:t>5</w:t>
                  </w:r>
                </w:p>
              </w:tc>
            </w:tr>
            <w:tr w:rsidR="00455EAD" w:rsidRPr="00566CAB" w14:paraId="37ECB511" w14:textId="77777777" w:rsidTr="00F33BFA">
              <w:trPr>
                <w:trHeight w:val="290"/>
                <w:jc w:val="center"/>
              </w:trPr>
              <w:tc>
                <w:tcPr>
                  <w:tcW w:w="4415" w:type="dxa"/>
                  <w:tcBorders>
                    <w:top w:val="single" w:sz="4" w:space="0" w:color="auto"/>
                    <w:left w:val="single" w:sz="4" w:space="0" w:color="auto"/>
                    <w:bottom w:val="single" w:sz="4" w:space="0" w:color="auto"/>
                    <w:right w:val="single" w:sz="4" w:space="0" w:color="auto"/>
                  </w:tcBorders>
                  <w:noWrap/>
                  <w:vAlign w:val="bottom"/>
                </w:tcPr>
                <w:p w14:paraId="250E2285" w14:textId="79A50CF8" w:rsidR="00455EAD" w:rsidRPr="0D999939" w:rsidRDefault="00E406AC" w:rsidP="00F33BFA">
                  <w:pPr>
                    <w:spacing w:after="0"/>
                    <w:rPr>
                      <w:color w:val="000000" w:themeColor="text1"/>
                    </w:rPr>
                  </w:pPr>
                  <w:r w:rsidRPr="0D999939">
                    <w:rPr>
                      <w:color w:val="000000" w:themeColor="text1"/>
                    </w:rPr>
                    <w:t>Disadvantaged Community (DAC)</w:t>
                  </w:r>
                  <w:r>
                    <w:rPr>
                      <w:color w:val="000000" w:themeColor="text1"/>
                    </w:rPr>
                    <w:t xml:space="preserve"> </w:t>
                  </w:r>
                </w:p>
              </w:tc>
              <w:tc>
                <w:tcPr>
                  <w:tcW w:w="2790" w:type="dxa"/>
                  <w:tcBorders>
                    <w:top w:val="single" w:sz="4" w:space="0" w:color="auto"/>
                    <w:left w:val="nil"/>
                    <w:bottom w:val="single" w:sz="4" w:space="0" w:color="auto"/>
                    <w:right w:val="single" w:sz="4" w:space="0" w:color="auto"/>
                  </w:tcBorders>
                </w:tcPr>
                <w:p w14:paraId="0010BD33" w14:textId="035E531B" w:rsidR="00E406AC" w:rsidRDefault="00E406AC" w:rsidP="00E406AC">
                  <w:pPr>
                    <w:spacing w:after="0"/>
                    <w:rPr>
                      <w:color w:val="000000" w:themeColor="text1"/>
                    </w:rPr>
                  </w:pPr>
                  <w:r>
                    <w:rPr>
                      <w:rFonts w:eastAsia="Arial"/>
                    </w:rPr>
                    <w:t>&lt;50%</w:t>
                  </w:r>
                </w:p>
              </w:tc>
              <w:tc>
                <w:tcPr>
                  <w:tcW w:w="1032" w:type="dxa"/>
                  <w:tcBorders>
                    <w:top w:val="single" w:sz="4" w:space="0" w:color="auto"/>
                    <w:left w:val="single" w:sz="4" w:space="0" w:color="auto"/>
                    <w:bottom w:val="single" w:sz="4" w:space="0" w:color="auto"/>
                    <w:right w:val="single" w:sz="4" w:space="0" w:color="auto"/>
                  </w:tcBorders>
                  <w:noWrap/>
                  <w:vAlign w:val="bottom"/>
                </w:tcPr>
                <w:p w14:paraId="2A4F1BDD" w14:textId="1C839C52" w:rsidR="00455EAD" w:rsidRPr="0D999939" w:rsidRDefault="00455EAD" w:rsidP="00455EAD">
                  <w:pPr>
                    <w:spacing w:after="0"/>
                    <w:rPr>
                      <w:color w:val="000000" w:themeColor="text1"/>
                    </w:rPr>
                  </w:pPr>
                  <w:r>
                    <w:rPr>
                      <w:color w:val="000000" w:themeColor="text1"/>
                    </w:rPr>
                    <w:t>2.5</w:t>
                  </w:r>
                </w:p>
              </w:tc>
            </w:tr>
          </w:tbl>
          <w:p w14:paraId="61FB529D" w14:textId="77777777" w:rsidR="00674AE1" w:rsidRPr="006E5B6D" w:rsidRDefault="00674AE1">
            <w:pPr>
              <w:outlineLvl w:val="2"/>
            </w:pPr>
          </w:p>
        </w:tc>
        <w:tc>
          <w:tcPr>
            <w:tcW w:w="1208" w:type="dxa"/>
            <w:tcBorders>
              <w:top w:val="single" w:sz="4" w:space="0" w:color="auto"/>
              <w:left w:val="single" w:sz="4" w:space="0" w:color="auto"/>
              <w:bottom w:val="single" w:sz="4" w:space="0" w:color="auto"/>
              <w:right w:val="single" w:sz="4" w:space="0" w:color="auto"/>
            </w:tcBorders>
          </w:tcPr>
          <w:p w14:paraId="019D4A46" w14:textId="77777777" w:rsidR="00674AE1" w:rsidRPr="00616F23" w:rsidRDefault="00674AE1">
            <w:pPr>
              <w:jc w:val="center"/>
            </w:pPr>
            <w:r>
              <w:lastRenderedPageBreak/>
              <w:t>10</w:t>
            </w:r>
          </w:p>
        </w:tc>
      </w:tr>
      <w:tr w:rsidR="00674AE1" w:rsidRPr="00616F23" w14:paraId="2DD19C82" w14:textId="77777777">
        <w:tc>
          <w:tcPr>
            <w:tcW w:w="8573" w:type="dxa"/>
            <w:tcBorders>
              <w:top w:val="single" w:sz="4" w:space="0" w:color="auto"/>
              <w:left w:val="single" w:sz="4" w:space="0" w:color="auto"/>
              <w:bottom w:val="single" w:sz="4" w:space="0" w:color="auto"/>
              <w:right w:val="single" w:sz="4" w:space="0" w:color="auto"/>
            </w:tcBorders>
          </w:tcPr>
          <w:p w14:paraId="7D41E6EF" w14:textId="77777777" w:rsidR="00674AE1" w:rsidRPr="00FD3F52" w:rsidRDefault="00674AE1">
            <w:pPr>
              <w:ind w:left="109"/>
              <w:rPr>
                <w:b/>
                <w:bCs/>
              </w:rPr>
            </w:pPr>
            <w:r>
              <w:rPr>
                <w:b/>
                <w:bCs/>
              </w:rPr>
              <w:lastRenderedPageBreak/>
              <w:t xml:space="preserve">7. Exceeding Minimum </w:t>
            </w:r>
            <w:r w:rsidRPr="00FD3F52">
              <w:rPr>
                <w:b/>
                <w:bCs/>
              </w:rPr>
              <w:t>Match Funding</w:t>
            </w:r>
            <w:r>
              <w:rPr>
                <w:b/>
                <w:bCs/>
              </w:rPr>
              <w:t xml:space="preserve"> Requirement</w:t>
            </w:r>
          </w:p>
          <w:p w14:paraId="2402FBFC" w14:textId="431C9859" w:rsidR="0002282E" w:rsidRDefault="00674AE1">
            <w:pPr>
              <w:ind w:left="109"/>
            </w:pPr>
            <w:r w:rsidRPr="00CA5A46">
              <w:t>Preference points</w:t>
            </w:r>
            <w:r w:rsidRPr="00037819">
              <w:rPr>
                <w:rFonts w:eastAsia="Arial"/>
                <w:color w:val="000000" w:themeColor="text1"/>
              </w:rPr>
              <w:t xml:space="preserve"> </w:t>
            </w:r>
            <w:r>
              <w:rPr>
                <w:rFonts w:eastAsia="Arial"/>
                <w:color w:val="000000" w:themeColor="text1"/>
              </w:rPr>
              <w:t>s</w:t>
            </w:r>
            <w:r w:rsidRPr="00037819">
              <w:rPr>
                <w:rFonts w:eastAsia="Arial"/>
                <w:color w:val="000000" w:themeColor="text1"/>
              </w:rPr>
              <w:t xml:space="preserve">hall be awarded on a sliding scale to </w:t>
            </w:r>
            <w:r>
              <w:rPr>
                <w:rFonts w:eastAsia="Arial"/>
                <w:color w:val="000000" w:themeColor="text1"/>
              </w:rPr>
              <w:t>projects</w:t>
            </w:r>
            <w:r w:rsidRPr="00037819">
              <w:rPr>
                <w:rFonts w:eastAsia="Arial"/>
                <w:color w:val="000000" w:themeColor="text1"/>
              </w:rPr>
              <w:t xml:space="preserve"> </w:t>
            </w:r>
            <w:r>
              <w:rPr>
                <w:rFonts w:eastAsia="Arial"/>
                <w:color w:val="000000" w:themeColor="text1"/>
              </w:rPr>
              <w:t>exceeding the minimum</w:t>
            </w:r>
            <w:r w:rsidRPr="00037819">
              <w:rPr>
                <w:rFonts w:eastAsia="Arial"/>
                <w:color w:val="000000" w:themeColor="text1"/>
              </w:rPr>
              <w:t xml:space="preserve"> match fund</w:t>
            </w:r>
            <w:r>
              <w:rPr>
                <w:rFonts w:eastAsia="Arial"/>
                <w:color w:val="000000" w:themeColor="text1"/>
              </w:rPr>
              <w:t xml:space="preserve"> requirements</w:t>
            </w:r>
            <w:r w:rsidRPr="377A37D6">
              <w:rPr>
                <w:rFonts w:eastAsia="Arial"/>
                <w:color w:val="000000" w:themeColor="text1"/>
              </w:rPr>
              <w:t xml:space="preserve"> as demonstrated in the Budget (Attachment 06) and Letters of Commitment (Attachment 09).</w:t>
            </w:r>
            <w:r w:rsidRPr="00037819">
              <w:rPr>
                <w:rFonts w:eastAsia="Arial"/>
                <w:color w:val="000000" w:themeColor="text1"/>
              </w:rPr>
              <w:t xml:space="preserve"> </w:t>
            </w:r>
            <w:r w:rsidRPr="4F8BEB6F">
              <w:rPr>
                <w:rFonts w:eastAsia="Arial"/>
                <w:color w:val="000000" w:themeColor="text1"/>
              </w:rPr>
              <w:t xml:space="preserve">The percentage of match </w:t>
            </w:r>
            <w:r w:rsidRPr="2C0E28FC">
              <w:rPr>
                <w:rFonts w:eastAsia="Arial"/>
                <w:color w:val="000000" w:themeColor="text1"/>
              </w:rPr>
              <w:t xml:space="preserve">funds is calculated as a proportion of </w:t>
            </w:r>
            <w:r>
              <w:rPr>
                <w:rFonts w:eastAsia="Arial"/>
                <w:color w:val="000000" w:themeColor="text1"/>
              </w:rPr>
              <w:t xml:space="preserve">the </w:t>
            </w:r>
            <w:r w:rsidRPr="38E93663">
              <w:rPr>
                <w:rFonts w:eastAsia="Arial"/>
                <w:color w:val="000000" w:themeColor="text1"/>
              </w:rPr>
              <w:t xml:space="preserve">CEC grant funds requested. </w:t>
            </w:r>
            <w:r>
              <w:t>(Example: A project requesting $10,000,000 in CEC funding must contribute a minimum of $2,500,000 in match funds).</w:t>
            </w:r>
          </w:p>
          <w:tbl>
            <w:tblPr>
              <w:tblW w:w="7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70"/>
              <w:gridCol w:w="1935"/>
            </w:tblGrid>
            <w:tr w:rsidR="00674AE1" w:rsidRPr="001810EC" w14:paraId="651B7401" w14:textId="77777777">
              <w:trPr>
                <w:trHeight w:val="315"/>
              </w:trPr>
              <w:tc>
                <w:tcPr>
                  <w:tcW w:w="5970" w:type="dxa"/>
                  <w:tcBorders>
                    <w:top w:val="single" w:sz="6" w:space="0" w:color="auto"/>
                    <w:left w:val="single" w:sz="6" w:space="0" w:color="auto"/>
                    <w:bottom w:val="single" w:sz="6" w:space="0" w:color="auto"/>
                    <w:right w:val="single" w:sz="6" w:space="0" w:color="auto"/>
                  </w:tcBorders>
                  <w:hideMark/>
                </w:tcPr>
                <w:p w14:paraId="6A357633" w14:textId="77777777" w:rsidR="00674AE1" w:rsidRPr="001810EC" w:rsidRDefault="00674AE1">
                  <w:pPr>
                    <w:spacing w:after="0"/>
                    <w:textAlignment w:val="baseline"/>
                    <w:rPr>
                      <w:rFonts w:ascii="Segoe UI" w:hAnsi="Segoe UI" w:cs="Segoe UI"/>
                      <w:sz w:val="18"/>
                      <w:szCs w:val="18"/>
                    </w:rPr>
                  </w:pPr>
                  <w:r>
                    <w:rPr>
                      <w:szCs w:val="22"/>
                    </w:rPr>
                    <w:t>M</w:t>
                  </w:r>
                  <w:r w:rsidRPr="001810EC">
                    <w:rPr>
                      <w:szCs w:val="22"/>
                    </w:rPr>
                    <w:t xml:space="preserve">atch </w:t>
                  </w:r>
                  <w:r>
                    <w:rPr>
                      <w:szCs w:val="22"/>
                    </w:rPr>
                    <w:t xml:space="preserve">Percentage </w:t>
                  </w:r>
                  <w:r w:rsidRPr="001810EC">
                    <w:rPr>
                      <w:szCs w:val="22"/>
                    </w:rPr>
                    <w:t>(cash and in-kind) </w:t>
                  </w:r>
                </w:p>
              </w:tc>
              <w:tc>
                <w:tcPr>
                  <w:tcW w:w="1935" w:type="dxa"/>
                  <w:tcBorders>
                    <w:top w:val="single" w:sz="6" w:space="0" w:color="auto"/>
                    <w:left w:val="single" w:sz="6" w:space="0" w:color="auto"/>
                    <w:bottom w:val="single" w:sz="6" w:space="0" w:color="auto"/>
                    <w:right w:val="single" w:sz="6" w:space="0" w:color="auto"/>
                  </w:tcBorders>
                  <w:hideMark/>
                </w:tcPr>
                <w:p w14:paraId="20046ECD" w14:textId="77777777" w:rsidR="00674AE1" w:rsidRPr="001810EC" w:rsidRDefault="00674AE1">
                  <w:pPr>
                    <w:spacing w:after="0"/>
                    <w:textAlignment w:val="baseline"/>
                    <w:rPr>
                      <w:rFonts w:ascii="Segoe UI" w:hAnsi="Segoe UI" w:cs="Segoe UI"/>
                      <w:sz w:val="18"/>
                      <w:szCs w:val="18"/>
                    </w:rPr>
                  </w:pPr>
                  <w:r>
                    <w:rPr>
                      <w:szCs w:val="22"/>
                    </w:rPr>
                    <w:t>Score</w:t>
                  </w:r>
                </w:p>
              </w:tc>
            </w:tr>
            <w:tr w:rsidR="00701D5A" w:rsidRPr="001810EC" w14:paraId="334F9629" w14:textId="77777777">
              <w:trPr>
                <w:trHeight w:val="315"/>
              </w:trPr>
              <w:tc>
                <w:tcPr>
                  <w:tcW w:w="5970" w:type="dxa"/>
                  <w:tcBorders>
                    <w:top w:val="single" w:sz="6" w:space="0" w:color="auto"/>
                    <w:left w:val="single" w:sz="6" w:space="0" w:color="auto"/>
                    <w:bottom w:val="single" w:sz="6" w:space="0" w:color="auto"/>
                    <w:right w:val="single" w:sz="6" w:space="0" w:color="auto"/>
                  </w:tcBorders>
                </w:tcPr>
                <w:p w14:paraId="70A1F6A9" w14:textId="7DB4C6D7" w:rsidR="00701D5A" w:rsidRDefault="00701D5A" w:rsidP="00701D5A">
                  <w:pPr>
                    <w:spacing w:after="0"/>
                    <w:textAlignment w:val="baseline"/>
                    <w:rPr>
                      <w:szCs w:val="22"/>
                    </w:rPr>
                  </w:pPr>
                  <w:r>
                    <w:rPr>
                      <w:szCs w:val="22"/>
                    </w:rPr>
                    <w:t>15-19*</w:t>
                  </w:r>
                </w:p>
              </w:tc>
              <w:tc>
                <w:tcPr>
                  <w:tcW w:w="1935" w:type="dxa"/>
                  <w:tcBorders>
                    <w:top w:val="single" w:sz="6" w:space="0" w:color="auto"/>
                    <w:left w:val="single" w:sz="6" w:space="0" w:color="auto"/>
                    <w:bottom w:val="single" w:sz="6" w:space="0" w:color="auto"/>
                    <w:right w:val="single" w:sz="6" w:space="0" w:color="auto"/>
                  </w:tcBorders>
                </w:tcPr>
                <w:p w14:paraId="1080ABE8" w14:textId="433D3D9F" w:rsidR="00701D5A" w:rsidRDefault="00701D5A" w:rsidP="00701D5A">
                  <w:pPr>
                    <w:spacing w:after="0"/>
                    <w:textAlignment w:val="baseline"/>
                    <w:rPr>
                      <w:szCs w:val="22"/>
                    </w:rPr>
                  </w:pPr>
                  <w:r>
                    <w:rPr>
                      <w:szCs w:val="22"/>
                    </w:rPr>
                    <w:t>0.5</w:t>
                  </w:r>
                </w:p>
              </w:tc>
            </w:tr>
            <w:tr w:rsidR="00701D5A" w:rsidRPr="001810EC" w14:paraId="07194450" w14:textId="77777777">
              <w:trPr>
                <w:trHeight w:val="315"/>
              </w:trPr>
              <w:tc>
                <w:tcPr>
                  <w:tcW w:w="5970" w:type="dxa"/>
                  <w:tcBorders>
                    <w:top w:val="single" w:sz="6" w:space="0" w:color="auto"/>
                    <w:left w:val="single" w:sz="6" w:space="0" w:color="auto"/>
                    <w:bottom w:val="single" w:sz="6" w:space="0" w:color="auto"/>
                    <w:right w:val="single" w:sz="6" w:space="0" w:color="auto"/>
                  </w:tcBorders>
                </w:tcPr>
                <w:p w14:paraId="40A102F9" w14:textId="1F71DAA6" w:rsidR="00701D5A" w:rsidRDefault="00701D5A" w:rsidP="00701D5A">
                  <w:pPr>
                    <w:spacing w:after="0"/>
                    <w:textAlignment w:val="baseline"/>
                    <w:rPr>
                      <w:szCs w:val="22"/>
                    </w:rPr>
                  </w:pPr>
                  <w:r>
                    <w:rPr>
                      <w:szCs w:val="22"/>
                    </w:rPr>
                    <w:t>20-29*</w:t>
                  </w:r>
                </w:p>
              </w:tc>
              <w:tc>
                <w:tcPr>
                  <w:tcW w:w="1935" w:type="dxa"/>
                  <w:tcBorders>
                    <w:top w:val="single" w:sz="6" w:space="0" w:color="auto"/>
                    <w:left w:val="single" w:sz="6" w:space="0" w:color="auto"/>
                    <w:bottom w:val="single" w:sz="6" w:space="0" w:color="auto"/>
                    <w:right w:val="single" w:sz="6" w:space="0" w:color="auto"/>
                  </w:tcBorders>
                </w:tcPr>
                <w:p w14:paraId="7BFBD4A2" w14:textId="6DDDDCA2" w:rsidR="00701D5A" w:rsidRDefault="00701D5A" w:rsidP="00701D5A">
                  <w:pPr>
                    <w:spacing w:after="0"/>
                    <w:textAlignment w:val="baseline"/>
                    <w:rPr>
                      <w:szCs w:val="22"/>
                    </w:rPr>
                  </w:pPr>
                  <w:r>
                    <w:rPr>
                      <w:szCs w:val="22"/>
                    </w:rPr>
                    <w:t>1.0</w:t>
                  </w:r>
                </w:p>
              </w:tc>
            </w:tr>
            <w:tr w:rsidR="00674AE1" w:rsidRPr="00C94E57" w14:paraId="6E5C7E36"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hideMark/>
                </w:tcPr>
                <w:p w14:paraId="693E39C8" w14:textId="77777777" w:rsidR="00674AE1" w:rsidRPr="00C94E57" w:rsidRDefault="00674AE1">
                  <w:pPr>
                    <w:spacing w:after="0"/>
                    <w:textAlignment w:val="baseline"/>
                    <w:rPr>
                      <w:rFonts w:ascii="Segoe UI" w:hAnsi="Segoe UI" w:cs="Segoe UI"/>
                      <w:sz w:val="18"/>
                      <w:szCs w:val="18"/>
                    </w:rPr>
                  </w:pPr>
                  <w:r w:rsidRPr="00C94E57">
                    <w:rPr>
                      <w:szCs w:val="22"/>
                    </w:rPr>
                    <w:t>30-39</w:t>
                  </w:r>
                  <w:r w:rsidRPr="00C94E57">
                    <w:rPr>
                      <w:caps/>
                      <w:szCs w:val="22"/>
                    </w:rPr>
                    <w:t> </w:t>
                  </w:r>
                  <w:r w:rsidRPr="00C94E57">
                    <w:rPr>
                      <w:szCs w:val="22"/>
                    </w:rPr>
                    <w:t> </w:t>
                  </w:r>
                </w:p>
              </w:tc>
              <w:tc>
                <w:tcPr>
                  <w:tcW w:w="1935" w:type="dxa"/>
                  <w:tcBorders>
                    <w:top w:val="single" w:sz="6" w:space="0" w:color="auto"/>
                    <w:left w:val="single" w:sz="6" w:space="0" w:color="auto"/>
                    <w:bottom w:val="single" w:sz="6" w:space="0" w:color="auto"/>
                    <w:right w:val="single" w:sz="6" w:space="0" w:color="auto"/>
                  </w:tcBorders>
                  <w:vAlign w:val="bottom"/>
                  <w:hideMark/>
                </w:tcPr>
                <w:p w14:paraId="133B8B52" w14:textId="77777777" w:rsidR="00674AE1" w:rsidRPr="00C94E57" w:rsidRDefault="00674AE1">
                  <w:pPr>
                    <w:spacing w:after="0"/>
                    <w:textAlignment w:val="baseline"/>
                    <w:rPr>
                      <w:rFonts w:ascii="Segoe UI" w:hAnsi="Segoe UI" w:cs="Segoe UI"/>
                      <w:sz w:val="18"/>
                      <w:szCs w:val="18"/>
                    </w:rPr>
                  </w:pPr>
                  <w:r>
                    <w:rPr>
                      <w:caps/>
                      <w:szCs w:val="22"/>
                    </w:rPr>
                    <w:t>1.5</w:t>
                  </w:r>
                </w:p>
              </w:tc>
            </w:tr>
            <w:tr w:rsidR="00674AE1" w:rsidRPr="00C94E57" w14:paraId="30DCEE47"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hideMark/>
                </w:tcPr>
                <w:p w14:paraId="6D62CB03" w14:textId="77777777" w:rsidR="00674AE1" w:rsidRPr="00C94E57" w:rsidRDefault="00674AE1">
                  <w:pPr>
                    <w:spacing w:after="0"/>
                    <w:textAlignment w:val="baseline"/>
                    <w:rPr>
                      <w:rFonts w:ascii="Segoe UI" w:hAnsi="Segoe UI" w:cs="Segoe UI"/>
                      <w:sz w:val="18"/>
                      <w:szCs w:val="18"/>
                    </w:rPr>
                  </w:pPr>
                  <w:r w:rsidRPr="00C94E57">
                    <w:rPr>
                      <w:szCs w:val="22"/>
                    </w:rPr>
                    <w:t>40-</w:t>
                  </w:r>
                  <w:r>
                    <w:rPr>
                      <w:szCs w:val="22"/>
                    </w:rPr>
                    <w:t>49</w:t>
                  </w:r>
                </w:p>
              </w:tc>
              <w:tc>
                <w:tcPr>
                  <w:tcW w:w="1935" w:type="dxa"/>
                  <w:tcBorders>
                    <w:top w:val="single" w:sz="6" w:space="0" w:color="auto"/>
                    <w:left w:val="single" w:sz="6" w:space="0" w:color="auto"/>
                    <w:bottom w:val="single" w:sz="6" w:space="0" w:color="auto"/>
                    <w:right w:val="single" w:sz="6" w:space="0" w:color="auto"/>
                  </w:tcBorders>
                  <w:vAlign w:val="bottom"/>
                  <w:hideMark/>
                </w:tcPr>
                <w:p w14:paraId="0213136D" w14:textId="77777777" w:rsidR="00674AE1" w:rsidRPr="00C94E57" w:rsidRDefault="00674AE1">
                  <w:pPr>
                    <w:spacing w:after="0"/>
                    <w:textAlignment w:val="baseline"/>
                    <w:rPr>
                      <w:rFonts w:ascii="Segoe UI" w:hAnsi="Segoe UI" w:cs="Segoe UI"/>
                      <w:sz w:val="18"/>
                      <w:szCs w:val="18"/>
                    </w:rPr>
                  </w:pPr>
                  <w:r>
                    <w:rPr>
                      <w:caps/>
                      <w:szCs w:val="22"/>
                    </w:rPr>
                    <w:t>2.0</w:t>
                  </w:r>
                </w:p>
              </w:tc>
            </w:tr>
            <w:tr w:rsidR="00674AE1" w:rsidRPr="00C94E57" w14:paraId="5E00B766"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hideMark/>
                </w:tcPr>
                <w:p w14:paraId="26ADDDAF" w14:textId="77777777" w:rsidR="00674AE1" w:rsidRPr="00C94E57" w:rsidRDefault="00674AE1">
                  <w:pPr>
                    <w:spacing w:after="0"/>
                    <w:textAlignment w:val="baseline"/>
                    <w:rPr>
                      <w:rFonts w:ascii="Segoe UI" w:hAnsi="Segoe UI" w:cs="Segoe UI"/>
                      <w:sz w:val="18"/>
                      <w:szCs w:val="18"/>
                    </w:rPr>
                  </w:pPr>
                  <w:r>
                    <w:rPr>
                      <w:szCs w:val="22"/>
                    </w:rPr>
                    <w:t>50</w:t>
                  </w:r>
                  <w:r w:rsidRPr="00C94E57">
                    <w:rPr>
                      <w:szCs w:val="22"/>
                    </w:rPr>
                    <w:t>-</w:t>
                  </w:r>
                  <w:r>
                    <w:rPr>
                      <w:szCs w:val="22"/>
                    </w:rPr>
                    <w:t>5</w:t>
                  </w:r>
                  <w:r w:rsidRPr="00C94E57">
                    <w:rPr>
                      <w:szCs w:val="22"/>
                    </w:rPr>
                    <w:t>9</w:t>
                  </w:r>
                  <w:r w:rsidRPr="00C94E57">
                    <w:rPr>
                      <w:caps/>
                      <w:szCs w:val="22"/>
                    </w:rPr>
                    <w:t> </w:t>
                  </w:r>
                  <w:r w:rsidRPr="00C94E57">
                    <w:rPr>
                      <w:szCs w:val="22"/>
                    </w:rPr>
                    <w:t> </w:t>
                  </w:r>
                </w:p>
              </w:tc>
              <w:tc>
                <w:tcPr>
                  <w:tcW w:w="1935" w:type="dxa"/>
                  <w:tcBorders>
                    <w:top w:val="single" w:sz="6" w:space="0" w:color="auto"/>
                    <w:left w:val="single" w:sz="6" w:space="0" w:color="auto"/>
                    <w:bottom w:val="single" w:sz="6" w:space="0" w:color="auto"/>
                    <w:right w:val="single" w:sz="6" w:space="0" w:color="auto"/>
                  </w:tcBorders>
                  <w:vAlign w:val="bottom"/>
                  <w:hideMark/>
                </w:tcPr>
                <w:p w14:paraId="771E3C6A" w14:textId="77777777" w:rsidR="00674AE1" w:rsidRPr="00C94E57" w:rsidRDefault="00674AE1">
                  <w:pPr>
                    <w:spacing w:after="0"/>
                    <w:textAlignment w:val="baseline"/>
                    <w:rPr>
                      <w:rFonts w:ascii="Segoe UI" w:hAnsi="Segoe UI" w:cs="Segoe UI"/>
                      <w:sz w:val="18"/>
                      <w:szCs w:val="18"/>
                    </w:rPr>
                  </w:pPr>
                  <w:r>
                    <w:rPr>
                      <w:caps/>
                      <w:szCs w:val="22"/>
                    </w:rPr>
                    <w:t>2.5</w:t>
                  </w:r>
                </w:p>
              </w:tc>
            </w:tr>
            <w:tr w:rsidR="00674AE1" w:rsidRPr="00C94E57" w14:paraId="298B9691"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hideMark/>
                </w:tcPr>
                <w:p w14:paraId="5C88BEDC" w14:textId="77777777" w:rsidR="00674AE1" w:rsidRPr="00C94E57" w:rsidRDefault="00674AE1">
                  <w:pPr>
                    <w:spacing w:after="0"/>
                    <w:textAlignment w:val="baseline"/>
                    <w:rPr>
                      <w:rFonts w:ascii="Segoe UI" w:hAnsi="Segoe UI" w:cs="Segoe UI"/>
                      <w:sz w:val="18"/>
                      <w:szCs w:val="18"/>
                    </w:rPr>
                  </w:pPr>
                  <w:r>
                    <w:rPr>
                      <w:szCs w:val="22"/>
                    </w:rPr>
                    <w:t>6</w:t>
                  </w:r>
                  <w:r w:rsidRPr="00C94E57">
                    <w:rPr>
                      <w:szCs w:val="22"/>
                    </w:rPr>
                    <w:t>0-</w:t>
                  </w:r>
                  <w:r>
                    <w:rPr>
                      <w:szCs w:val="22"/>
                    </w:rPr>
                    <w:t>69</w:t>
                  </w:r>
                  <w:r w:rsidRPr="00C94E57">
                    <w:rPr>
                      <w:szCs w:val="22"/>
                    </w:rPr>
                    <w:t> </w:t>
                  </w:r>
                </w:p>
              </w:tc>
              <w:tc>
                <w:tcPr>
                  <w:tcW w:w="1935" w:type="dxa"/>
                  <w:tcBorders>
                    <w:top w:val="single" w:sz="6" w:space="0" w:color="auto"/>
                    <w:left w:val="single" w:sz="6" w:space="0" w:color="auto"/>
                    <w:bottom w:val="single" w:sz="6" w:space="0" w:color="auto"/>
                    <w:right w:val="single" w:sz="6" w:space="0" w:color="auto"/>
                  </w:tcBorders>
                  <w:vAlign w:val="bottom"/>
                  <w:hideMark/>
                </w:tcPr>
                <w:p w14:paraId="050EF2F7" w14:textId="77777777" w:rsidR="00674AE1" w:rsidRPr="00C94E57" w:rsidRDefault="00674AE1">
                  <w:pPr>
                    <w:spacing w:after="0"/>
                    <w:textAlignment w:val="baseline"/>
                    <w:rPr>
                      <w:rFonts w:ascii="Segoe UI" w:hAnsi="Segoe UI" w:cs="Segoe UI"/>
                      <w:sz w:val="18"/>
                      <w:szCs w:val="18"/>
                    </w:rPr>
                  </w:pPr>
                  <w:r>
                    <w:rPr>
                      <w:caps/>
                      <w:szCs w:val="22"/>
                    </w:rPr>
                    <w:t>3.0</w:t>
                  </w:r>
                </w:p>
              </w:tc>
            </w:tr>
            <w:tr w:rsidR="00674AE1" w:rsidRPr="00C94E57" w14:paraId="42334CEB"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hideMark/>
                </w:tcPr>
                <w:p w14:paraId="6B1C124A" w14:textId="77777777" w:rsidR="00674AE1" w:rsidRPr="00C94E57" w:rsidRDefault="00674AE1">
                  <w:pPr>
                    <w:spacing w:after="0"/>
                    <w:textAlignment w:val="baseline"/>
                    <w:rPr>
                      <w:rFonts w:ascii="Segoe UI" w:hAnsi="Segoe UI" w:cs="Segoe UI"/>
                      <w:sz w:val="18"/>
                      <w:szCs w:val="18"/>
                    </w:rPr>
                  </w:pPr>
                  <w:r>
                    <w:rPr>
                      <w:szCs w:val="22"/>
                    </w:rPr>
                    <w:t>70-79</w:t>
                  </w:r>
                  <w:r w:rsidRPr="00C94E57">
                    <w:rPr>
                      <w:szCs w:val="22"/>
                    </w:rPr>
                    <w:t> </w:t>
                  </w:r>
                </w:p>
              </w:tc>
              <w:tc>
                <w:tcPr>
                  <w:tcW w:w="1935" w:type="dxa"/>
                  <w:tcBorders>
                    <w:top w:val="single" w:sz="6" w:space="0" w:color="auto"/>
                    <w:left w:val="single" w:sz="6" w:space="0" w:color="auto"/>
                    <w:bottom w:val="single" w:sz="6" w:space="0" w:color="auto"/>
                    <w:right w:val="single" w:sz="6" w:space="0" w:color="auto"/>
                  </w:tcBorders>
                  <w:vAlign w:val="bottom"/>
                  <w:hideMark/>
                </w:tcPr>
                <w:p w14:paraId="2EF68404" w14:textId="77777777" w:rsidR="00674AE1" w:rsidRPr="00C94E57" w:rsidRDefault="00674AE1">
                  <w:pPr>
                    <w:spacing w:after="0"/>
                    <w:textAlignment w:val="baseline"/>
                    <w:rPr>
                      <w:rFonts w:ascii="Segoe UI" w:hAnsi="Segoe UI" w:cs="Segoe UI"/>
                      <w:sz w:val="18"/>
                      <w:szCs w:val="18"/>
                    </w:rPr>
                  </w:pPr>
                  <w:r>
                    <w:rPr>
                      <w:caps/>
                      <w:szCs w:val="22"/>
                    </w:rPr>
                    <w:t>3.5</w:t>
                  </w:r>
                </w:p>
              </w:tc>
            </w:tr>
            <w:tr w:rsidR="00674AE1" w:rsidRPr="00C94E57" w14:paraId="67C390B0"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tcPr>
                <w:p w14:paraId="451AA771" w14:textId="77777777" w:rsidR="00674AE1" w:rsidRDefault="00674AE1">
                  <w:pPr>
                    <w:spacing w:after="0"/>
                    <w:textAlignment w:val="baseline"/>
                    <w:rPr>
                      <w:szCs w:val="22"/>
                    </w:rPr>
                  </w:pPr>
                  <w:r>
                    <w:rPr>
                      <w:szCs w:val="22"/>
                    </w:rPr>
                    <w:t>80-89</w:t>
                  </w:r>
                </w:p>
              </w:tc>
              <w:tc>
                <w:tcPr>
                  <w:tcW w:w="1935" w:type="dxa"/>
                  <w:tcBorders>
                    <w:top w:val="single" w:sz="6" w:space="0" w:color="auto"/>
                    <w:left w:val="single" w:sz="6" w:space="0" w:color="auto"/>
                    <w:bottom w:val="single" w:sz="6" w:space="0" w:color="auto"/>
                    <w:right w:val="single" w:sz="6" w:space="0" w:color="auto"/>
                  </w:tcBorders>
                  <w:vAlign w:val="bottom"/>
                </w:tcPr>
                <w:p w14:paraId="2A966C40" w14:textId="77777777" w:rsidR="00674AE1" w:rsidRDefault="00674AE1">
                  <w:pPr>
                    <w:spacing w:after="0"/>
                    <w:textAlignment w:val="baseline"/>
                    <w:rPr>
                      <w:caps/>
                      <w:szCs w:val="22"/>
                    </w:rPr>
                  </w:pPr>
                  <w:r>
                    <w:rPr>
                      <w:caps/>
                      <w:szCs w:val="22"/>
                    </w:rPr>
                    <w:t>4.0</w:t>
                  </w:r>
                </w:p>
              </w:tc>
            </w:tr>
            <w:tr w:rsidR="00674AE1" w:rsidRPr="00C94E57" w14:paraId="1833D834"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tcPr>
                <w:p w14:paraId="5492AE0A" w14:textId="77777777" w:rsidR="00674AE1" w:rsidRDefault="00674AE1">
                  <w:pPr>
                    <w:spacing w:after="0"/>
                    <w:textAlignment w:val="baseline"/>
                    <w:rPr>
                      <w:szCs w:val="22"/>
                    </w:rPr>
                  </w:pPr>
                  <w:r>
                    <w:rPr>
                      <w:szCs w:val="22"/>
                    </w:rPr>
                    <w:t>90-99</w:t>
                  </w:r>
                </w:p>
              </w:tc>
              <w:tc>
                <w:tcPr>
                  <w:tcW w:w="1935" w:type="dxa"/>
                  <w:tcBorders>
                    <w:top w:val="single" w:sz="6" w:space="0" w:color="auto"/>
                    <w:left w:val="single" w:sz="6" w:space="0" w:color="auto"/>
                    <w:bottom w:val="single" w:sz="6" w:space="0" w:color="auto"/>
                    <w:right w:val="single" w:sz="6" w:space="0" w:color="auto"/>
                  </w:tcBorders>
                  <w:vAlign w:val="bottom"/>
                </w:tcPr>
                <w:p w14:paraId="1A2BAA60" w14:textId="77777777" w:rsidR="00674AE1" w:rsidRDefault="00674AE1">
                  <w:pPr>
                    <w:spacing w:after="0"/>
                    <w:textAlignment w:val="baseline"/>
                    <w:rPr>
                      <w:caps/>
                      <w:szCs w:val="22"/>
                    </w:rPr>
                  </w:pPr>
                  <w:r>
                    <w:rPr>
                      <w:caps/>
                      <w:szCs w:val="22"/>
                    </w:rPr>
                    <w:t>4.5</w:t>
                  </w:r>
                </w:p>
              </w:tc>
            </w:tr>
            <w:tr w:rsidR="00674AE1" w:rsidRPr="00C94E57" w14:paraId="53CC24F4" w14:textId="77777777">
              <w:trPr>
                <w:trHeight w:val="360"/>
              </w:trPr>
              <w:tc>
                <w:tcPr>
                  <w:tcW w:w="5970" w:type="dxa"/>
                  <w:tcBorders>
                    <w:top w:val="single" w:sz="6" w:space="0" w:color="auto"/>
                    <w:left w:val="single" w:sz="6" w:space="0" w:color="auto"/>
                    <w:bottom w:val="single" w:sz="6" w:space="0" w:color="auto"/>
                    <w:right w:val="single" w:sz="6" w:space="0" w:color="auto"/>
                  </w:tcBorders>
                  <w:vAlign w:val="bottom"/>
                </w:tcPr>
                <w:p w14:paraId="17FA06A1" w14:textId="77777777" w:rsidR="00674AE1" w:rsidRDefault="00674AE1">
                  <w:pPr>
                    <w:spacing w:after="0"/>
                    <w:textAlignment w:val="baseline"/>
                    <w:rPr>
                      <w:szCs w:val="22"/>
                    </w:rPr>
                  </w:pPr>
                  <w:r>
                    <w:rPr>
                      <w:szCs w:val="22"/>
                    </w:rPr>
                    <w:t>100 or more</w:t>
                  </w:r>
                </w:p>
              </w:tc>
              <w:tc>
                <w:tcPr>
                  <w:tcW w:w="1935" w:type="dxa"/>
                  <w:tcBorders>
                    <w:top w:val="single" w:sz="6" w:space="0" w:color="auto"/>
                    <w:left w:val="single" w:sz="6" w:space="0" w:color="auto"/>
                    <w:bottom w:val="single" w:sz="6" w:space="0" w:color="auto"/>
                    <w:right w:val="single" w:sz="6" w:space="0" w:color="auto"/>
                  </w:tcBorders>
                  <w:vAlign w:val="bottom"/>
                </w:tcPr>
                <w:p w14:paraId="6DDD09C1" w14:textId="77777777" w:rsidR="00674AE1" w:rsidRDefault="00674AE1">
                  <w:pPr>
                    <w:spacing w:after="0"/>
                    <w:textAlignment w:val="baseline"/>
                    <w:rPr>
                      <w:caps/>
                      <w:szCs w:val="22"/>
                    </w:rPr>
                  </w:pPr>
                  <w:r>
                    <w:rPr>
                      <w:caps/>
                      <w:szCs w:val="22"/>
                    </w:rPr>
                    <w:t>5.0</w:t>
                  </w:r>
                </w:p>
              </w:tc>
            </w:tr>
          </w:tbl>
          <w:p w14:paraId="59B27796" w14:textId="13A25001" w:rsidR="00674AE1" w:rsidRPr="00BE74D9" w:rsidRDefault="00701D5A" w:rsidP="00EE7DA1">
            <w:pPr>
              <w:ind w:left="109"/>
              <w:rPr>
                <w:sz w:val="20"/>
              </w:rPr>
            </w:pPr>
            <w:r w:rsidRPr="00BE74D9">
              <w:rPr>
                <w:b/>
                <w:bCs/>
                <w:sz w:val="20"/>
              </w:rPr>
              <w:t>*</w:t>
            </w:r>
            <w:r w:rsidR="00BE74D9" w:rsidRPr="00BE74D9">
              <w:rPr>
                <w:sz w:val="20"/>
              </w:rPr>
              <w:t>Available only for applications proposing projects demonstrating meaningful and direct benefits to Vulnerable Populations and (Severely) Disadvantaged Communities where 10 percent minimum match funding is required.</w:t>
            </w:r>
          </w:p>
        </w:tc>
        <w:tc>
          <w:tcPr>
            <w:tcW w:w="1208" w:type="dxa"/>
            <w:tcBorders>
              <w:top w:val="single" w:sz="4" w:space="0" w:color="auto"/>
              <w:left w:val="single" w:sz="4" w:space="0" w:color="auto"/>
              <w:bottom w:val="single" w:sz="4" w:space="0" w:color="auto"/>
              <w:right w:val="single" w:sz="4" w:space="0" w:color="auto"/>
            </w:tcBorders>
          </w:tcPr>
          <w:p w14:paraId="2EA29241" w14:textId="77777777" w:rsidR="00674AE1" w:rsidRDefault="00674AE1">
            <w:pPr>
              <w:jc w:val="center"/>
            </w:pPr>
            <w:r>
              <w:t>5</w:t>
            </w:r>
          </w:p>
        </w:tc>
      </w:tr>
      <w:tr w:rsidR="00674AE1" w:rsidRPr="00616F23" w14:paraId="40EAA2FF" w14:textId="77777777">
        <w:tc>
          <w:tcPr>
            <w:tcW w:w="8573" w:type="dxa"/>
            <w:tcBorders>
              <w:top w:val="single" w:sz="4" w:space="0" w:color="auto"/>
              <w:left w:val="single" w:sz="4" w:space="0" w:color="auto"/>
              <w:bottom w:val="single" w:sz="4" w:space="0" w:color="auto"/>
              <w:right w:val="single" w:sz="4" w:space="0" w:color="auto"/>
            </w:tcBorders>
          </w:tcPr>
          <w:p w14:paraId="5D6DF959" w14:textId="77777777" w:rsidR="00674AE1" w:rsidRPr="00454E83" w:rsidRDefault="00674AE1">
            <w:pPr>
              <w:ind w:left="109"/>
              <w:rPr>
                <w:b/>
                <w:bCs/>
              </w:rPr>
            </w:pPr>
            <w:r>
              <w:rPr>
                <w:b/>
                <w:bCs/>
              </w:rPr>
              <w:t>8. Received Federal Funding that Supports Critical Infrastructure</w:t>
            </w:r>
          </w:p>
          <w:p w14:paraId="5F03A82B" w14:textId="253A80D5" w:rsidR="00674AE1" w:rsidRDefault="00674AE1">
            <w:pPr>
              <w:spacing w:before="80"/>
            </w:pPr>
            <w:r w:rsidRPr="007100FB">
              <w:t>Preference points</w:t>
            </w:r>
            <w:r>
              <w:t xml:space="preserve"> </w:t>
            </w:r>
            <w:r w:rsidRPr="00963F7E">
              <w:t xml:space="preserve">shall be awarded </w:t>
            </w:r>
            <w:r>
              <w:t>to</w:t>
            </w:r>
            <w:r w:rsidRPr="00963F7E">
              <w:t xml:space="preserve"> </w:t>
            </w:r>
            <w:r>
              <w:t>a project eligible under this solicitation that is also receiving federal funding that supports critical infrastructure,</w:t>
            </w:r>
            <w:r w:rsidR="006959CC">
              <w:rPr>
                <w:rStyle w:val="FootnoteReference"/>
              </w:rPr>
              <w:footnoteReference w:id="25"/>
            </w:r>
            <w:r>
              <w:t xml:space="preserve"> </w:t>
            </w:r>
            <w:r>
              <w:lastRenderedPageBreak/>
              <w:t>such as a water utility project, only if that federal funding is secure and in place. Applicants must provide:</w:t>
            </w:r>
          </w:p>
          <w:p w14:paraId="2A57557C" w14:textId="77777777" w:rsidR="00674AE1" w:rsidRPr="002B3CA9" w:rsidRDefault="00674AE1" w:rsidP="00147645">
            <w:pPr>
              <w:pStyle w:val="ListParagraph"/>
              <w:numPr>
                <w:ilvl w:val="0"/>
                <w:numId w:val="94"/>
              </w:numPr>
              <w:contextualSpacing w:val="0"/>
              <w:rPr>
                <w:rFonts w:eastAsia="Arial"/>
                <w:color w:val="000000" w:themeColor="text1"/>
              </w:rPr>
            </w:pPr>
            <w:r>
              <w:rPr>
                <w:rFonts w:eastAsia="Arial"/>
                <w:color w:val="000000" w:themeColor="text1"/>
              </w:rPr>
              <w:t>A signed letter</w:t>
            </w:r>
            <w:r w:rsidRPr="008861D2">
              <w:rPr>
                <w:rFonts w:eastAsia="Arial"/>
                <w:color w:val="000000" w:themeColor="text1"/>
              </w:rPr>
              <w:t xml:space="preserve"> from the applicable federal agency confirming the final </w:t>
            </w:r>
            <w:proofErr w:type="gramStart"/>
            <w:r w:rsidRPr="008861D2">
              <w:rPr>
                <w:rFonts w:eastAsia="Arial"/>
                <w:color w:val="000000" w:themeColor="text1"/>
              </w:rPr>
              <w:t>award</w:t>
            </w:r>
            <w:r>
              <w:rPr>
                <w:rFonts w:eastAsia="Arial"/>
                <w:color w:val="000000" w:themeColor="text1"/>
              </w:rPr>
              <w:t>;</w:t>
            </w:r>
            <w:proofErr w:type="gramEnd"/>
            <w:r>
              <w:rPr>
                <w:rFonts w:eastAsia="Arial"/>
                <w:color w:val="000000" w:themeColor="text1"/>
              </w:rPr>
              <w:t xml:space="preserve"> </w:t>
            </w:r>
          </w:p>
          <w:p w14:paraId="7377440B" w14:textId="77777777" w:rsidR="00674AE1" w:rsidRPr="002B3CA9" w:rsidRDefault="00674AE1" w:rsidP="00147645">
            <w:pPr>
              <w:pStyle w:val="ListParagraph"/>
              <w:numPr>
                <w:ilvl w:val="0"/>
                <w:numId w:val="94"/>
              </w:numPr>
              <w:contextualSpacing w:val="0"/>
              <w:rPr>
                <w:rFonts w:eastAsia="Arial"/>
                <w:color w:val="000000" w:themeColor="text1"/>
              </w:rPr>
            </w:pPr>
            <w:r w:rsidRPr="0B98C74F">
              <w:rPr>
                <w:rFonts w:eastAsia="Arial"/>
                <w:color w:val="000000" w:themeColor="text1"/>
              </w:rPr>
              <w:t xml:space="preserve">A copy of the project description receiving the federal award that demonstrates that a project eligible under this </w:t>
            </w:r>
            <w:r w:rsidRPr="31B9D975">
              <w:rPr>
                <w:rFonts w:eastAsia="Arial"/>
                <w:color w:val="000000" w:themeColor="text1"/>
              </w:rPr>
              <w:t>solicitation</w:t>
            </w:r>
            <w:r w:rsidRPr="0B98C74F">
              <w:rPr>
                <w:rFonts w:eastAsia="Arial"/>
                <w:color w:val="000000" w:themeColor="text1"/>
              </w:rPr>
              <w:t xml:space="preserve"> is included in the federal award; </w:t>
            </w:r>
            <w:r>
              <w:rPr>
                <w:rFonts w:eastAsia="Arial"/>
                <w:color w:val="000000" w:themeColor="text1"/>
              </w:rPr>
              <w:t>and</w:t>
            </w:r>
          </w:p>
          <w:p w14:paraId="417A5D92" w14:textId="37DDF630" w:rsidR="00674AE1" w:rsidRPr="007100FB" w:rsidRDefault="00674AE1" w:rsidP="00147645">
            <w:pPr>
              <w:pStyle w:val="ListParagraph"/>
              <w:numPr>
                <w:ilvl w:val="0"/>
                <w:numId w:val="94"/>
              </w:numPr>
              <w:contextualSpacing w:val="0"/>
            </w:pPr>
            <w:r>
              <w:rPr>
                <w:rFonts w:eastAsia="Arial"/>
                <w:color w:val="000000" w:themeColor="text1"/>
              </w:rPr>
              <w:t xml:space="preserve">A description in the Project Narrative (Attachment 02) and/or other relevant attachment </w:t>
            </w:r>
            <w:r w:rsidRPr="008861D2">
              <w:rPr>
                <w:rFonts w:eastAsia="Arial"/>
                <w:color w:val="000000" w:themeColor="text1"/>
              </w:rPr>
              <w:t xml:space="preserve">of </w:t>
            </w:r>
            <w:r w:rsidR="00570487">
              <w:rPr>
                <w:rFonts w:eastAsia="Arial"/>
                <w:color w:val="000000" w:themeColor="text1"/>
              </w:rPr>
              <w:t xml:space="preserve">the federal funding opportunity, </w:t>
            </w:r>
            <w:r w:rsidR="00042DE0">
              <w:rPr>
                <w:rFonts w:eastAsia="Arial"/>
                <w:color w:val="000000" w:themeColor="text1"/>
              </w:rPr>
              <w:t xml:space="preserve">status of the federal funding award, </w:t>
            </w:r>
            <w:r w:rsidRPr="008861D2">
              <w:rPr>
                <w:rFonts w:eastAsia="Arial"/>
                <w:color w:val="000000" w:themeColor="text1"/>
              </w:rPr>
              <w:t>any applicable executive orders, pending or resolved litigation, or other known factors that may terminate, postpone, or otherwise interfere with the Applicant’s receipt of, or completion of the project supported by, the awarded federal funding.</w:t>
            </w:r>
          </w:p>
        </w:tc>
        <w:tc>
          <w:tcPr>
            <w:tcW w:w="1208" w:type="dxa"/>
            <w:tcBorders>
              <w:top w:val="single" w:sz="4" w:space="0" w:color="auto"/>
              <w:left w:val="single" w:sz="4" w:space="0" w:color="auto"/>
              <w:bottom w:val="single" w:sz="4" w:space="0" w:color="auto"/>
              <w:right w:val="single" w:sz="4" w:space="0" w:color="auto"/>
            </w:tcBorders>
          </w:tcPr>
          <w:p w14:paraId="0E648262" w14:textId="77777777" w:rsidR="00674AE1" w:rsidRPr="00616F23" w:rsidRDefault="00674AE1">
            <w:pPr>
              <w:jc w:val="center"/>
            </w:pPr>
            <w:r>
              <w:lastRenderedPageBreak/>
              <w:t>5</w:t>
            </w:r>
          </w:p>
        </w:tc>
      </w:tr>
      <w:tr w:rsidR="00674AE1" w:rsidRPr="00616F23" w14:paraId="2927EB67" w14:textId="77777777">
        <w:tc>
          <w:tcPr>
            <w:tcW w:w="8573" w:type="dxa"/>
            <w:tcBorders>
              <w:top w:val="single" w:sz="4" w:space="0" w:color="auto"/>
              <w:left w:val="single" w:sz="4" w:space="0" w:color="auto"/>
              <w:bottom w:val="single" w:sz="4" w:space="0" w:color="auto"/>
              <w:right w:val="single" w:sz="4" w:space="0" w:color="auto"/>
            </w:tcBorders>
          </w:tcPr>
          <w:p w14:paraId="047BEFBA" w14:textId="77777777" w:rsidR="00674AE1" w:rsidRPr="00454E83" w:rsidRDefault="00674AE1">
            <w:pPr>
              <w:ind w:left="109"/>
              <w:rPr>
                <w:b/>
                <w:bCs/>
              </w:rPr>
            </w:pPr>
            <w:r>
              <w:rPr>
                <w:b/>
                <w:bCs/>
              </w:rPr>
              <w:t>9. Application Uses Services of Community Conservation Corps</w:t>
            </w:r>
          </w:p>
          <w:p w14:paraId="21A852F1" w14:textId="7E01521E" w:rsidR="00674AE1" w:rsidRDefault="00674AE1">
            <w:r>
              <w:t xml:space="preserve">Preference points shall be awarded to applications including the use of services of the California Conservation Corps (CCC) or certified community conservation corps, as defined in </w:t>
            </w:r>
            <w:r w:rsidR="00E407C7">
              <w:t xml:space="preserve">PRC </w:t>
            </w:r>
            <w:r>
              <w:t xml:space="preserve">Section 14507.5, in the Project Narrative (Attachment 02). </w:t>
            </w:r>
          </w:p>
          <w:p w14:paraId="5182AD02" w14:textId="1877C22E" w:rsidR="00674AE1" w:rsidRDefault="00674AE1">
            <w:r>
              <w:t>T</w:t>
            </w:r>
            <w:r w:rsidRPr="00A15452">
              <w:rPr>
                <w:rFonts w:eastAsia="Arial"/>
                <w:color w:val="000000" w:themeColor="text1"/>
              </w:rPr>
              <w:t>he CCC provides grant consultation services (see Section II.B.8.</w:t>
            </w:r>
            <w:r w:rsidR="00CB1995">
              <w:rPr>
                <w:rFonts w:eastAsia="Arial"/>
                <w:color w:val="000000" w:themeColor="text1"/>
              </w:rPr>
              <w:t>d</w:t>
            </w:r>
            <w:r w:rsidRPr="00A15452">
              <w:rPr>
                <w:rFonts w:eastAsia="Arial"/>
                <w:color w:val="000000" w:themeColor="text1"/>
              </w:rPr>
              <w:t xml:space="preserve"> </w:t>
            </w:r>
            <w:r>
              <w:rPr>
                <w:rFonts w:eastAsia="Arial"/>
                <w:color w:val="000000" w:themeColor="text1"/>
              </w:rPr>
              <w:t>“</w:t>
            </w:r>
            <w:r w:rsidR="00CB1995">
              <w:rPr>
                <w:rFonts w:eastAsia="Arial"/>
                <w:color w:val="000000" w:themeColor="text1"/>
              </w:rPr>
              <w:t>Community Conservation Corps</w:t>
            </w:r>
            <w:r>
              <w:rPr>
                <w:rFonts w:eastAsia="Arial"/>
                <w:color w:val="000000" w:themeColor="text1"/>
              </w:rPr>
              <w:t>”</w:t>
            </w:r>
            <w:r w:rsidRPr="00A15452">
              <w:rPr>
                <w:rFonts w:eastAsia="Arial"/>
                <w:color w:val="000000" w:themeColor="text1"/>
              </w:rPr>
              <w:t xml:space="preserve"> for more information).</w:t>
            </w:r>
            <w:r>
              <w:rPr>
                <w:rFonts w:eastAsia="Arial"/>
                <w:color w:val="000000" w:themeColor="text1"/>
              </w:rPr>
              <w:t xml:space="preserve"> </w:t>
            </w:r>
            <w:r>
              <w:t>Applicants must provide:</w:t>
            </w:r>
          </w:p>
          <w:p w14:paraId="1D340E2E" w14:textId="77777777" w:rsidR="00674AE1" w:rsidRPr="00535109" w:rsidRDefault="00674AE1">
            <w:pPr>
              <w:pStyle w:val="ListParagraph"/>
              <w:numPr>
                <w:ilvl w:val="0"/>
                <w:numId w:val="38"/>
              </w:numPr>
              <w:ind w:left="1140"/>
              <w:contextualSpacing w:val="0"/>
            </w:pPr>
            <w:r w:rsidRPr="00A15452">
              <w:rPr>
                <w:rFonts w:eastAsia="Arial"/>
                <w:color w:val="000000" w:themeColor="text1"/>
              </w:rPr>
              <w:t>A signed Letter of Commitment from the conservation corps confirming services provided.</w:t>
            </w:r>
          </w:p>
        </w:tc>
        <w:tc>
          <w:tcPr>
            <w:tcW w:w="1208" w:type="dxa"/>
            <w:tcBorders>
              <w:top w:val="single" w:sz="4" w:space="0" w:color="auto"/>
              <w:left w:val="single" w:sz="4" w:space="0" w:color="auto"/>
              <w:bottom w:val="single" w:sz="4" w:space="0" w:color="auto"/>
              <w:right w:val="single" w:sz="4" w:space="0" w:color="auto"/>
            </w:tcBorders>
          </w:tcPr>
          <w:p w14:paraId="7110B620" w14:textId="77777777" w:rsidR="00674AE1" w:rsidRPr="00616F23" w:rsidRDefault="00674AE1">
            <w:pPr>
              <w:jc w:val="center"/>
            </w:pPr>
            <w:r>
              <w:t>5</w:t>
            </w:r>
          </w:p>
        </w:tc>
      </w:tr>
    </w:tbl>
    <w:p w14:paraId="42BF5808" w14:textId="4F6AD0A4" w:rsidR="00674AE1" w:rsidRPr="00C31C1D" w:rsidRDefault="00674AE1" w:rsidP="00EE7DA1">
      <w:pPr>
        <w:pStyle w:val="Heading2"/>
        <w:spacing w:before="2000"/>
      </w:pPr>
      <w:bookmarkStart w:id="243" w:name="_Toc243558571"/>
      <w:r>
        <w:lastRenderedPageBreak/>
        <w:t>V: Administrative</w:t>
      </w:r>
      <w:r w:rsidRPr="00C31C1D">
        <w:t xml:space="preserve"> </w:t>
      </w:r>
      <w:r>
        <w:t>Considerations</w:t>
      </w:r>
      <w:bookmarkEnd w:id="243"/>
    </w:p>
    <w:p w14:paraId="41A10126" w14:textId="77777777" w:rsidR="00674AE1" w:rsidRDefault="00674AE1">
      <w:pPr>
        <w:pStyle w:val="Heading3"/>
        <w:numPr>
          <w:ilvl w:val="0"/>
          <w:numId w:val="78"/>
        </w:numPr>
        <w:ind w:left="0"/>
      </w:pPr>
      <w:bookmarkStart w:id="244" w:name="_Toc243558572"/>
      <w:r>
        <w:t>Cost of Developing Application</w:t>
      </w:r>
      <w:bookmarkEnd w:id="244"/>
    </w:p>
    <w:p w14:paraId="58B5EB44" w14:textId="77777777" w:rsidR="00674AE1" w:rsidRDefault="00674AE1" w:rsidP="00674AE1">
      <w:r w:rsidRPr="00505E89">
        <w:t xml:space="preserve">Applicants are solely responsible for the cost of developing applications. This cost cannot be charged to the State. </w:t>
      </w:r>
    </w:p>
    <w:p w14:paraId="560F6F16" w14:textId="77777777" w:rsidR="00674AE1" w:rsidRPr="00BA3BBD" w:rsidRDefault="00674AE1">
      <w:pPr>
        <w:pStyle w:val="Heading3"/>
        <w:numPr>
          <w:ilvl w:val="0"/>
          <w:numId w:val="78"/>
        </w:numPr>
        <w:ind w:left="0"/>
      </w:pPr>
      <w:bookmarkStart w:id="245" w:name="_Toc243558573"/>
      <w:r w:rsidRPr="002D46F7">
        <w:t>Applicants’ Admonishment</w:t>
      </w:r>
      <w:bookmarkEnd w:id="245"/>
    </w:p>
    <w:p w14:paraId="29258199" w14:textId="77777777" w:rsidR="00674AE1" w:rsidRPr="00D96330" w:rsidRDefault="00674AE1" w:rsidP="00674AE1">
      <w:pPr>
        <w:rPr>
          <w:rFonts w:eastAsia="Tahoma" w:cs="Tahoma"/>
          <w:szCs w:val="24"/>
        </w:rPr>
      </w:pPr>
      <w:r w:rsidRPr="00BA3BBD">
        <w:t>This solicitation contains application requirements and instructions</w:t>
      </w:r>
      <w:r>
        <w:t xml:space="preserve"> for a firm and acceptable proposal to be submitted by interested applicants</w:t>
      </w:r>
      <w:r w:rsidRPr="00BA3BBD">
        <w:t xml:space="preserve">. Applicants are responsible for </w:t>
      </w:r>
      <w:r w:rsidRPr="006A301E">
        <w:t>carefully reading</w:t>
      </w:r>
      <w:r w:rsidRPr="00BA3BBD">
        <w:t xml:space="preserve"> the </w:t>
      </w:r>
      <w:r>
        <w:t xml:space="preserve">entire </w:t>
      </w:r>
      <w:r w:rsidRPr="00BA3BBD">
        <w:t xml:space="preserve">solicitation, asking appropriate questions in a timely manner, submitting all required responses in a complete manner by the required date and time, and </w:t>
      </w:r>
      <w:r w:rsidRPr="006A301E">
        <w:rPr>
          <w:rFonts w:cs="Tahoma"/>
          <w:szCs w:val="24"/>
        </w:rPr>
        <w:t xml:space="preserve">make sure all procedures and requirements of the </w:t>
      </w:r>
      <w:r>
        <w:rPr>
          <w:rFonts w:cs="Tahoma"/>
          <w:szCs w:val="24"/>
        </w:rPr>
        <w:t>s</w:t>
      </w:r>
      <w:r w:rsidRPr="006A301E">
        <w:rPr>
          <w:rFonts w:cs="Tahoma"/>
          <w:szCs w:val="24"/>
        </w:rPr>
        <w:t>olicitation are followed and appropriately addressed.</w:t>
      </w:r>
    </w:p>
    <w:p w14:paraId="1EE9A5EC" w14:textId="77777777" w:rsidR="00674AE1" w:rsidRPr="00A932B2" w:rsidRDefault="00674AE1" w:rsidP="00302F46">
      <w:pPr>
        <w:pStyle w:val="Heading3"/>
        <w:ind w:left="0"/>
      </w:pPr>
      <w:bookmarkStart w:id="246" w:name="_Toc243558574"/>
      <w:r w:rsidRPr="00F138C0">
        <w:t>Solicitation Cancellation and Amendment</w:t>
      </w:r>
      <w:bookmarkEnd w:id="246"/>
    </w:p>
    <w:p w14:paraId="048F1253" w14:textId="77777777" w:rsidR="00674AE1" w:rsidRDefault="00674AE1" w:rsidP="00674AE1">
      <w:r w:rsidRPr="00AF6F4C">
        <w:t xml:space="preserve">It is the policy of the </w:t>
      </w:r>
      <w:r>
        <w:t>CEC</w:t>
      </w:r>
      <w:r w:rsidRPr="00AF6F4C">
        <w:t xml:space="preserve"> not to solicit applications unless there is a b</w:t>
      </w:r>
      <w:r>
        <w:t xml:space="preserve">ona fide intention to award an agreement. </w:t>
      </w:r>
      <w:r w:rsidRPr="00AF6F4C">
        <w:t xml:space="preserve">However, if it is in the State’s best interest, the </w:t>
      </w:r>
      <w:r>
        <w:t>CEC</w:t>
      </w:r>
      <w:r w:rsidRPr="00AF6F4C">
        <w:t xml:space="preserve"> reserves the right</w:t>
      </w:r>
      <w:r>
        <w:t>, in addition to any other rights it has,</w:t>
      </w:r>
      <w:r w:rsidRPr="00AF6F4C">
        <w:t xml:space="preserve"> to do any of the following:</w:t>
      </w:r>
    </w:p>
    <w:p w14:paraId="7FBEA77B" w14:textId="77777777" w:rsidR="00674AE1" w:rsidRDefault="00674AE1" w:rsidP="00674AE1">
      <w:pPr>
        <w:pStyle w:val="ListParagraph"/>
        <w:numPr>
          <w:ilvl w:val="0"/>
          <w:numId w:val="11"/>
        </w:numPr>
        <w:ind w:left="720"/>
        <w:contextualSpacing w:val="0"/>
      </w:pPr>
      <w:r w:rsidRPr="00D35C41">
        <w:t>Cancel this solicitation</w:t>
      </w:r>
    </w:p>
    <w:p w14:paraId="502C15C4" w14:textId="77777777" w:rsidR="00674AE1" w:rsidRDefault="00674AE1" w:rsidP="00674AE1">
      <w:pPr>
        <w:pStyle w:val="ListParagraph"/>
        <w:numPr>
          <w:ilvl w:val="0"/>
          <w:numId w:val="11"/>
        </w:numPr>
        <w:ind w:left="720"/>
        <w:contextualSpacing w:val="0"/>
      </w:pPr>
      <w:r w:rsidRPr="00D35C41">
        <w:t>Revise the amount of funds available under this solicitation</w:t>
      </w:r>
    </w:p>
    <w:p w14:paraId="464BD240" w14:textId="77777777" w:rsidR="00674AE1" w:rsidRDefault="00674AE1" w:rsidP="00674AE1">
      <w:pPr>
        <w:pStyle w:val="ListParagraph"/>
        <w:numPr>
          <w:ilvl w:val="0"/>
          <w:numId w:val="11"/>
        </w:numPr>
        <w:ind w:left="720"/>
        <w:contextualSpacing w:val="0"/>
      </w:pPr>
      <w:r w:rsidRPr="00D35C41">
        <w:t>Amend this solicitation as needed</w:t>
      </w:r>
    </w:p>
    <w:p w14:paraId="65CDB71E" w14:textId="77777777" w:rsidR="00674AE1" w:rsidRDefault="00674AE1" w:rsidP="00674AE1">
      <w:pPr>
        <w:pStyle w:val="ListParagraph"/>
        <w:numPr>
          <w:ilvl w:val="0"/>
          <w:numId w:val="11"/>
        </w:numPr>
        <w:ind w:left="720"/>
        <w:contextualSpacing w:val="0"/>
      </w:pPr>
      <w:r w:rsidRPr="00D35C41">
        <w:t>Reject any or all applications received in response to this solicitation</w:t>
      </w:r>
    </w:p>
    <w:p w14:paraId="1FF6D9E2" w14:textId="3D4E31CA" w:rsidR="00674AE1" w:rsidRPr="00D35C41" w:rsidRDefault="00674AE1" w:rsidP="00674AE1">
      <w:r w:rsidRPr="00D35C41">
        <w:t xml:space="preserve">If the solicitation is amended, the </w:t>
      </w:r>
      <w:r>
        <w:t>CEC</w:t>
      </w:r>
      <w:r w:rsidRPr="00D35C41">
        <w:t xml:space="preserve"> will post</w:t>
      </w:r>
      <w:r>
        <w:t xml:space="preserve"> an addendum</w:t>
      </w:r>
      <w:r w:rsidRPr="00D35C41">
        <w:t xml:space="preserve"> on </w:t>
      </w:r>
      <w:r w:rsidR="001B024E">
        <w:t xml:space="preserve">the </w:t>
      </w:r>
      <w:hyperlink r:id="rId42" w:history="1">
        <w:r w:rsidRPr="001B024E">
          <w:rPr>
            <w:rStyle w:val="Hyperlink"/>
            <w:rFonts w:cs="Arial"/>
          </w:rPr>
          <w:t>CEC’s Solicitation</w:t>
        </w:r>
        <w:r w:rsidR="001B024E" w:rsidRPr="001B024E">
          <w:rPr>
            <w:rStyle w:val="Hyperlink"/>
            <w:rFonts w:cs="Arial"/>
          </w:rPr>
          <w:t>s</w:t>
        </w:r>
      </w:hyperlink>
      <w:r w:rsidRPr="006C7F12">
        <w:t xml:space="preserve"> webpage</w:t>
      </w:r>
      <w:r w:rsidRPr="00D35C41">
        <w:t>.</w:t>
      </w:r>
      <w:r>
        <w:t xml:space="preserve"> The CEC will not reimburse applicants for application development expenses under any circumstances, including cancellation of the solicitation.</w:t>
      </w:r>
    </w:p>
    <w:p w14:paraId="5C1180BA" w14:textId="77777777" w:rsidR="00674AE1" w:rsidRPr="004D0A67" w:rsidRDefault="00674AE1" w:rsidP="00302F46">
      <w:pPr>
        <w:pStyle w:val="Heading3"/>
        <w:ind w:left="0"/>
      </w:pPr>
      <w:bookmarkStart w:id="247" w:name="_Toc243558575"/>
      <w:r w:rsidRPr="004D0A67">
        <w:t>Confidentiality</w:t>
      </w:r>
      <w:bookmarkEnd w:id="247"/>
    </w:p>
    <w:p w14:paraId="2684404E" w14:textId="77777777" w:rsidR="00674AE1" w:rsidRPr="00B06AE7" w:rsidRDefault="00674AE1" w:rsidP="00674AE1">
      <w:pPr>
        <w:rPr>
          <w:i/>
          <w:color w:val="00B0F0"/>
        </w:rPr>
      </w:pPr>
      <w:r w:rsidRPr="00B06AE7">
        <w:t>Though the entire evaluation process from receipt of applications up to the posting of the NOPA is confidential, all submitted documents will become publicly available records and property of the State after the CEC posts the NOPA or the solicitation is cancelled. The CEC will not accept or retain applications that identify any portion as confidential unless the applicant clarifies in writing that marking the material as confidential was a mistake and the material can be made public.</w:t>
      </w:r>
      <w:r w:rsidRPr="00B06AE7" w:rsidDel="005028D9">
        <w:t xml:space="preserve"> </w:t>
      </w:r>
    </w:p>
    <w:p w14:paraId="3AA3B6EB" w14:textId="77777777" w:rsidR="00674AE1" w:rsidRPr="004D0A67" w:rsidRDefault="00674AE1" w:rsidP="00302F46">
      <w:pPr>
        <w:pStyle w:val="Heading3"/>
        <w:ind w:left="0"/>
      </w:pPr>
      <w:bookmarkStart w:id="248" w:name="_Toc243558576"/>
      <w:r w:rsidRPr="004D0A67">
        <w:t>Solicitation Errors</w:t>
      </w:r>
      <w:bookmarkEnd w:id="248"/>
    </w:p>
    <w:p w14:paraId="35AD3342" w14:textId="77777777" w:rsidR="00674AE1" w:rsidRPr="00D35C41" w:rsidRDefault="00674AE1" w:rsidP="00674AE1">
      <w:r>
        <w:t>If an A</w:t>
      </w:r>
      <w:r w:rsidRPr="00D35C41">
        <w:t>pplicant discovers any ambiguity, conflict, discrepancy, omission, or other error in the s</w:t>
      </w:r>
      <w:r>
        <w:t>olicitation, including any inconsistency between the solicitation and the instructions for attachments,</w:t>
      </w:r>
      <w:r w:rsidRPr="003B68A9">
        <w:t xml:space="preserve"> </w:t>
      </w:r>
      <w:r>
        <w:t>at any time prior to 5:00 p.m. of the application deadline date, the A</w:t>
      </w:r>
      <w:r w:rsidRPr="00D35C41">
        <w:t>pplicant sh</w:t>
      </w:r>
      <w:r>
        <w:t>ou</w:t>
      </w:r>
      <w:r w:rsidRPr="00D35C41">
        <w:t>l</w:t>
      </w:r>
      <w:r>
        <w:t>d</w:t>
      </w:r>
      <w:r w:rsidRPr="00D35C41">
        <w:t xml:space="preserve"> immediately notify the </w:t>
      </w:r>
      <w:r>
        <w:t>CEC</w:t>
      </w:r>
      <w:r w:rsidRPr="00D35C41">
        <w:t xml:space="preserve"> of the error in writing and </w:t>
      </w:r>
      <w:r w:rsidRPr="00D35C41">
        <w:lastRenderedPageBreak/>
        <w:t xml:space="preserve">request modification or clarification of the </w:t>
      </w:r>
      <w:r>
        <w:t>solicitation</w:t>
      </w:r>
      <w:r w:rsidRPr="00D35C41">
        <w:t xml:space="preserve">. </w:t>
      </w:r>
      <w:r>
        <w:t>The CEC will provide m</w:t>
      </w:r>
      <w:r w:rsidRPr="00D35C41">
        <w:t xml:space="preserve">odifications or clarifications </w:t>
      </w:r>
      <w:r>
        <w:t>by written notice to</w:t>
      </w:r>
      <w:r w:rsidRPr="00D35C41">
        <w:t xml:space="preserve"> all </w:t>
      </w:r>
      <w:r>
        <w:t>entities that</w:t>
      </w:r>
      <w:r w:rsidRPr="00D35C41">
        <w:t xml:space="preserve"> requested the solicitation. </w:t>
      </w:r>
      <w:r>
        <w:t xml:space="preserve">If the error was noticed too close to the application deadline for the CEC to respond to all entities, the Applicant is responsible for addressing the error and explaining the rationale for how the application meets all reasonable interpretations of the requirements of the solicitation and/or attachments. </w:t>
      </w:r>
      <w:r w:rsidRPr="00D35C41">
        <w:t xml:space="preserve">The </w:t>
      </w:r>
      <w:r>
        <w:t>CEC</w:t>
      </w:r>
      <w:r w:rsidRPr="00D35C41">
        <w:t xml:space="preserve"> will not be responsible for failure </w:t>
      </w:r>
      <w:r>
        <w:t xml:space="preserve">of the Applicant to timely seek modification or clarification of perceived </w:t>
      </w:r>
      <w:r w:rsidRPr="00D35C41">
        <w:t>errors.</w:t>
      </w:r>
      <w:r>
        <w:t xml:space="preserve"> </w:t>
      </w:r>
    </w:p>
    <w:p w14:paraId="5094354E" w14:textId="77777777" w:rsidR="00674AE1" w:rsidRPr="004D0A67" w:rsidRDefault="00674AE1" w:rsidP="00302F46">
      <w:pPr>
        <w:pStyle w:val="Heading3"/>
        <w:ind w:left="0"/>
      </w:pPr>
      <w:bookmarkStart w:id="249" w:name="_Toc243558577"/>
      <w:r w:rsidRPr="004D0A67">
        <w:t>Immaterial Defect</w:t>
      </w:r>
      <w:bookmarkEnd w:id="249"/>
    </w:p>
    <w:p w14:paraId="60CDD25E" w14:textId="77777777" w:rsidR="00674AE1" w:rsidRPr="00D35C41" w:rsidRDefault="00674AE1" w:rsidP="00674AE1">
      <w:pPr>
        <w:tabs>
          <w:tab w:val="left" w:pos="0"/>
        </w:tabs>
      </w:pPr>
      <w:r w:rsidRPr="00D35C41">
        <w:t xml:space="preserve">The </w:t>
      </w:r>
      <w:r>
        <w:t>CEC</w:t>
      </w:r>
      <w:r w:rsidRPr="00D35C41">
        <w:t xml:space="preserve"> may waive any immaterial defect or deviation contai</w:t>
      </w:r>
      <w:r>
        <w:t xml:space="preserve">ned in an </w:t>
      </w:r>
      <w:r w:rsidRPr="00D35C41">
        <w:t xml:space="preserve">application. The </w:t>
      </w:r>
      <w:r>
        <w:t>CEC</w:t>
      </w:r>
      <w:r w:rsidRPr="00D35C41">
        <w:t xml:space="preserve">’s waiver </w:t>
      </w:r>
      <w:r>
        <w:t>will not</w:t>
      </w:r>
      <w:r w:rsidRPr="00D35C41">
        <w:t xml:space="preserve"> modify the applic</w:t>
      </w:r>
      <w:r>
        <w:t>ation or excuse an A</w:t>
      </w:r>
      <w:r w:rsidRPr="00D35C41">
        <w:t>pplicant</w:t>
      </w:r>
      <w:r>
        <w:t xml:space="preserve"> proposed for funding</w:t>
      </w:r>
      <w:r w:rsidRPr="00D35C41">
        <w:t xml:space="preserve"> from full compliance</w:t>
      </w:r>
      <w:r>
        <w:t xml:space="preserve"> with solicitation requirements</w:t>
      </w:r>
      <w:r w:rsidRPr="00D35C41">
        <w:t>.</w:t>
      </w:r>
    </w:p>
    <w:p w14:paraId="530C429A" w14:textId="77777777" w:rsidR="00674AE1" w:rsidRPr="00292D0C" w:rsidRDefault="00674AE1" w:rsidP="00302F46">
      <w:pPr>
        <w:pStyle w:val="Heading3"/>
        <w:ind w:left="0"/>
      </w:pPr>
      <w:bookmarkStart w:id="250" w:name="_Toc243558578"/>
      <w:r w:rsidRPr="00292D0C">
        <w:t>Clarification Interviews</w:t>
      </w:r>
      <w:bookmarkEnd w:id="250"/>
    </w:p>
    <w:p w14:paraId="186401B6" w14:textId="77777777" w:rsidR="00674AE1" w:rsidRDefault="00674AE1" w:rsidP="00674AE1">
      <w:r w:rsidRPr="00546205">
        <w:t xml:space="preserve">The Evaluation Committee may conduct optional </w:t>
      </w:r>
      <w:r w:rsidRPr="00292D0C">
        <w:t>Clarification Interviews</w:t>
      </w:r>
      <w:r w:rsidRPr="00546205">
        <w:t xml:space="preserve"> with applicants to clarify and/or verify information submitted in the application. </w:t>
      </w:r>
      <w:r w:rsidRPr="00F1152B">
        <w:t xml:space="preserve">However, these interviews may not be used to change or add to the content of the original application. </w:t>
      </w:r>
      <w:r w:rsidRPr="00546205">
        <w:t>Applicants will not be reimbursed for time spent answering clarifying questions.</w:t>
      </w:r>
    </w:p>
    <w:p w14:paraId="4FA26EF2" w14:textId="77777777" w:rsidR="00674AE1" w:rsidRPr="00FB7AFA" w:rsidRDefault="00674AE1" w:rsidP="00302F46">
      <w:pPr>
        <w:pStyle w:val="Heading3"/>
        <w:ind w:left="0"/>
      </w:pPr>
      <w:bookmarkStart w:id="251" w:name="_Toc243558579"/>
      <w:r w:rsidRPr="00FB1CD3">
        <w:t>Opportunity to Cure Administrative Errors</w:t>
      </w:r>
      <w:bookmarkEnd w:id="251"/>
    </w:p>
    <w:p w14:paraId="25870CDD" w14:textId="77777777" w:rsidR="00674AE1" w:rsidRPr="00FB1CD3" w:rsidRDefault="00674AE1" w:rsidP="00674AE1">
      <w:pPr>
        <w:rPr>
          <w:szCs w:val="22"/>
        </w:rPr>
      </w:pPr>
      <w:r w:rsidRPr="00FB1CD3">
        <w:t xml:space="preserve">The CEC understands and appreciates the significant time and expense applicants spend preparing applications. An administrative error that prevents an applicant from submitting a </w:t>
      </w:r>
      <w:r w:rsidRPr="008D1F8A">
        <w:rPr>
          <w:i/>
        </w:rPr>
        <w:t>complete</w:t>
      </w:r>
      <w:r w:rsidRPr="00FB1CD3">
        <w:t xml:space="preserve"> application frustrates both the CEC and applicants. </w:t>
      </w:r>
      <w:r>
        <w:t xml:space="preserve">The CEC may provide an opportunity to cure the administrative error, as described below. </w:t>
      </w:r>
      <w:r w:rsidRPr="00FB1CD3">
        <w:t xml:space="preserve">The purpose of this </w:t>
      </w:r>
      <w:r>
        <w:t xml:space="preserve">cure </w:t>
      </w:r>
      <w:r w:rsidRPr="00FB1CD3">
        <w:t>process is to reduce the number of applications screened out or receiving a significantly reduced score for administrative errors while maintaining a fair competition. This process also ensures better competition and thus better projects to benefit California.     </w:t>
      </w:r>
    </w:p>
    <w:p w14:paraId="490530AF" w14:textId="77777777" w:rsidR="00674AE1" w:rsidRDefault="00674AE1" w:rsidP="00674AE1">
      <w:r w:rsidRPr="00FB1CD3">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67297E77" w14:textId="77777777" w:rsidR="00674AE1" w:rsidRDefault="00674AE1" w:rsidP="00674AE1">
      <w:pPr>
        <w:pStyle w:val="ListParagraph"/>
        <w:numPr>
          <w:ilvl w:val="0"/>
          <w:numId w:val="12"/>
        </w:numPr>
        <w:ind w:left="720"/>
        <w:contextualSpacing w:val="0"/>
      </w:pPr>
      <w:r w:rsidRPr="00FB1CD3">
        <w:t>Scanning and submitting every other page in a document instead of every page.</w:t>
      </w:r>
    </w:p>
    <w:p w14:paraId="3DE593B7" w14:textId="77777777" w:rsidR="00674AE1" w:rsidRDefault="00674AE1" w:rsidP="00674AE1">
      <w:pPr>
        <w:pStyle w:val="ListParagraph"/>
        <w:numPr>
          <w:ilvl w:val="0"/>
          <w:numId w:val="12"/>
        </w:numPr>
        <w:ind w:left="720"/>
        <w:contextualSpacing w:val="0"/>
      </w:pPr>
      <w:r w:rsidRPr="00FB1CD3">
        <w:t>Submitting the wrong document.</w:t>
      </w:r>
    </w:p>
    <w:p w14:paraId="2B60B051" w14:textId="77777777" w:rsidR="00674AE1" w:rsidRPr="00FB1CD3" w:rsidRDefault="00674AE1" w:rsidP="00674AE1">
      <w:pPr>
        <w:pStyle w:val="ListParagraph"/>
        <w:numPr>
          <w:ilvl w:val="0"/>
          <w:numId w:val="12"/>
        </w:numPr>
        <w:ind w:left="720"/>
        <w:contextualSpacing w:val="0"/>
      </w:pPr>
      <w:r w:rsidRPr="00FB1CD3">
        <w:t>Leaving out a document.</w:t>
      </w:r>
    </w:p>
    <w:p w14:paraId="3758EF4A" w14:textId="77777777" w:rsidR="00674AE1" w:rsidRPr="00FB1CD3" w:rsidRDefault="00674AE1" w:rsidP="00674AE1">
      <w:r w:rsidRPr="00FB1CD3">
        <w:t xml:space="preserve">If the Evaluation Committee </w:t>
      </w:r>
      <w:r>
        <w:t>finds</w:t>
      </w:r>
      <w:r w:rsidRPr="00FB1CD3">
        <w:t xml:space="preserve"> what reasonably appears to be an administrative error, they can communicate with the applicant to confirm. If an applicant finds an administrative error in its application, it should immediately contact the Commission Agreement Officer listed in </w:t>
      </w:r>
      <w:r>
        <w:t>Section I.H “</w:t>
      </w:r>
      <w:r w:rsidRPr="00FB1CD3">
        <w:t>Contact Information.</w:t>
      </w:r>
      <w:r>
        <w:t>” </w:t>
      </w:r>
    </w:p>
    <w:p w14:paraId="69E0B7E2" w14:textId="77777777" w:rsidR="00674AE1" w:rsidRDefault="00674AE1" w:rsidP="00674AE1">
      <w:r w:rsidRPr="00FB1CD3">
        <w:lastRenderedPageBreak/>
        <w:t xml:space="preserve">If an administrative error has been identified and communicated to the Commission Agreement Officer, the CEC may, but is not required to, allow the applicant a time </w:t>
      </w:r>
      <w:r>
        <w:t xml:space="preserve">window </w:t>
      </w:r>
      <w:r w:rsidRPr="00FB1CD3">
        <w:t>to provide the missing materials. Reasons why the CEC might NOT allow an applicant to fix an administrative error include, but are not limited to:</w:t>
      </w:r>
    </w:p>
    <w:p w14:paraId="6CFB364F" w14:textId="77777777" w:rsidR="00674AE1" w:rsidRPr="00B06AE7" w:rsidRDefault="00674AE1" w:rsidP="00674AE1">
      <w:pPr>
        <w:pStyle w:val="ListParagraph"/>
        <w:numPr>
          <w:ilvl w:val="0"/>
          <w:numId w:val="13"/>
        </w:numPr>
        <w:ind w:left="720"/>
        <w:contextualSpacing w:val="0"/>
        <w:rPr>
          <w:szCs w:val="22"/>
        </w:rPr>
      </w:pPr>
      <w:r w:rsidRPr="00FB1CD3">
        <w:t>The funds have a deadline that does not allow time to fix the error. </w:t>
      </w:r>
    </w:p>
    <w:p w14:paraId="7C5F7366" w14:textId="77777777" w:rsidR="00674AE1" w:rsidRPr="00B06AE7" w:rsidRDefault="00674AE1" w:rsidP="00674AE1">
      <w:pPr>
        <w:pStyle w:val="ListParagraph"/>
        <w:numPr>
          <w:ilvl w:val="0"/>
          <w:numId w:val="13"/>
        </w:numPr>
        <w:ind w:left="720"/>
        <w:contextualSpacing w:val="0"/>
        <w:rPr>
          <w:szCs w:val="22"/>
        </w:rPr>
      </w:pPr>
      <w:r w:rsidRPr="00FB1CD3">
        <w:t>The application has been screened out or does not receive a passing score for reasons unrelated to the administrative error, making irrelevant any efforts to fix the error.</w:t>
      </w:r>
    </w:p>
    <w:p w14:paraId="74DB1640" w14:textId="77777777" w:rsidR="00674AE1" w:rsidRPr="00B06AE7" w:rsidRDefault="00674AE1" w:rsidP="00674AE1">
      <w:pPr>
        <w:pStyle w:val="ListParagraph"/>
        <w:numPr>
          <w:ilvl w:val="0"/>
          <w:numId w:val="13"/>
        </w:numPr>
        <w:ind w:left="720"/>
        <w:contextualSpacing w:val="0"/>
        <w:rPr>
          <w:szCs w:val="22"/>
        </w:rPr>
      </w:pPr>
      <w:r w:rsidRPr="00FB1CD3">
        <w:t>The applicant brings the error to the CEC’s attention too late in the solicitation process (e.g., after awards have been approved at a Business Meeting). </w:t>
      </w:r>
    </w:p>
    <w:p w14:paraId="13F17B61" w14:textId="77777777" w:rsidR="00674AE1" w:rsidRPr="00FB1CD3" w:rsidRDefault="00674AE1" w:rsidP="00674AE1">
      <w:pPr>
        <w:rPr>
          <w:szCs w:val="22"/>
        </w:rPr>
      </w:pPr>
      <w:r w:rsidRPr="00FB1CD3">
        <w:t xml:space="preserve">If the Evaluation Committee allows an applicant the opportunity to fix an administrative error, the Commission Agreement Officer will communicate in writing to the applicant’s project manager listed the deadline by which the applicant must provide the missing materials. Reasonable efforts will be made to confirm receipt of the notice, but actual notice cannot be </w:t>
      </w:r>
      <w:proofErr w:type="gramStart"/>
      <w:r w:rsidRPr="00FB1CD3">
        <w:t>guaranteed</w:t>
      </w:r>
      <w:proofErr w:type="gramEnd"/>
      <w:r w:rsidRPr="00FB1CD3">
        <w:t xml:space="preserve"> and the obligation is on the applicant to ensure the proper contact(s) are listed and available to respond.  The Evaluation Committee will not consider any materials submitted after the deadline.</w:t>
      </w:r>
    </w:p>
    <w:p w14:paraId="321701E5" w14:textId="77777777" w:rsidR="00674AE1" w:rsidRPr="00FB1CD3" w:rsidRDefault="00674AE1" w:rsidP="00674AE1">
      <w:r w:rsidRPr="007B3965">
        <w:rPr>
          <w:b/>
        </w:rPr>
        <w:t>This process only allows applicants to submit materials in existence as of the application deadline. This process does NOT allow applicants to submit material created or modified after the application deadline. </w:t>
      </w:r>
      <w:r w:rsidRPr="00FB1CD3">
        <w:t>The CEC has sole discretion to determine whether materials submitted are eligible for consideration by the Evaluation Committee under this opportunity to cure. </w:t>
      </w:r>
    </w:p>
    <w:p w14:paraId="37B076DF" w14:textId="77777777" w:rsidR="00674AE1" w:rsidRPr="00FB1CD3" w:rsidRDefault="00674AE1" w:rsidP="00674AE1">
      <w:pPr>
        <w:rPr>
          <w:szCs w:val="22"/>
        </w:rPr>
      </w:pPr>
      <w:r w:rsidRPr="00FB1CD3">
        <w:t>Applicants must include the following certification along with the materials it submits to fix an administrative error and must explain why the materials were not provided due to an inadvertent administrative error:  </w:t>
      </w:r>
    </w:p>
    <w:p w14:paraId="07CD2A33" w14:textId="77777777" w:rsidR="00674AE1" w:rsidRPr="00FB1CD3" w:rsidRDefault="00674AE1" w:rsidP="00674AE1">
      <w:pPr>
        <w:rPr>
          <w:szCs w:val="22"/>
        </w:rPr>
      </w:pPr>
      <w:r w:rsidRPr="00FB1CD3">
        <w:t>“I certify on behalf of the applicant that the materials provided herein existed at the time of the application deadline, have not been modified since, and were not originally provided due to an inadvertent administrative error as described herein.”   </w:t>
      </w:r>
    </w:p>
    <w:p w14:paraId="64D88A31" w14:textId="77777777" w:rsidR="00674AE1" w:rsidRDefault="63B9AFAD" w:rsidP="00674AE1">
      <w: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p>
    <w:p w14:paraId="4B9C5744" w14:textId="2B5D3132" w:rsidR="4FF980B5" w:rsidRPr="00A70194" w:rsidRDefault="4FF980B5" w:rsidP="00A70194">
      <w:pPr>
        <w:pStyle w:val="Heading3"/>
        <w:ind w:left="0"/>
      </w:pPr>
      <w:bookmarkStart w:id="252" w:name="_Toc243558580"/>
      <w:r w:rsidRPr="00A70194">
        <w:rPr>
          <w:color w:val="auto"/>
        </w:rPr>
        <w:t>Disposition of Applicant’s Documents</w:t>
      </w:r>
      <w:bookmarkEnd w:id="252"/>
    </w:p>
    <w:p w14:paraId="5E0432EF" w14:textId="29809D7F" w:rsidR="4FF980B5" w:rsidRPr="000C2309" w:rsidRDefault="4FF980B5">
      <w:pPr>
        <w:rPr>
          <w:szCs w:val="24"/>
        </w:rPr>
      </w:pPr>
      <w:r w:rsidRPr="000C2309">
        <w:rPr>
          <w:szCs w:val="24"/>
        </w:rPr>
        <w:t xml:space="preserve">The entire evaluation process from receipt of applications up to the posting of the Notice of Proposed Award is confidential. On the Notice of Proposed Award posting date, or date of solicitation cancellation, all applications and related material submitted in response to this solicitation become a part of the property of the State and public record. </w:t>
      </w:r>
    </w:p>
    <w:p w14:paraId="35AF2C91" w14:textId="433D7F7C" w:rsidR="4FF980B5" w:rsidRPr="000C2309" w:rsidRDefault="4FF980B5" w:rsidP="009C269A">
      <w:pPr>
        <w:pStyle w:val="Heading3"/>
        <w:ind w:left="0"/>
        <w:rPr>
          <w:smallCaps/>
          <w:szCs w:val="24"/>
        </w:rPr>
      </w:pPr>
      <w:bookmarkStart w:id="253" w:name="_Toc243558581"/>
      <w:r w:rsidRPr="009C269A">
        <w:rPr>
          <w:color w:val="auto"/>
        </w:rPr>
        <w:lastRenderedPageBreak/>
        <w:t>Agreement</w:t>
      </w:r>
      <w:r w:rsidRPr="000C2309">
        <w:rPr>
          <w:smallCaps/>
          <w:color w:val="auto"/>
          <w:szCs w:val="24"/>
        </w:rPr>
        <w:t xml:space="preserve"> </w:t>
      </w:r>
      <w:r w:rsidR="001B4F79">
        <w:rPr>
          <w:color w:val="auto"/>
          <w:szCs w:val="24"/>
        </w:rPr>
        <w:t>R</w:t>
      </w:r>
      <w:r w:rsidR="001B4F79" w:rsidRPr="009C269A">
        <w:rPr>
          <w:color w:val="auto"/>
          <w:szCs w:val="24"/>
        </w:rPr>
        <w:t>equirements</w:t>
      </w:r>
      <w:bookmarkEnd w:id="253"/>
    </w:p>
    <w:p w14:paraId="43B98F2B" w14:textId="55D2EEF8" w:rsidR="4FF980B5" w:rsidRPr="000C2309" w:rsidRDefault="4FF980B5">
      <w:pPr>
        <w:rPr>
          <w:szCs w:val="24"/>
        </w:rPr>
      </w:pPr>
      <w:r w:rsidRPr="000C2309">
        <w:rPr>
          <w:szCs w:val="24"/>
        </w:rPr>
        <w:t xml:space="preserve">The content of this solicitation shall be incorporated by reference into the final agreement. See the terms and conditions on the </w:t>
      </w:r>
      <w:hyperlink r:id="rId43" w:history="1">
        <w:r w:rsidRPr="001B024E">
          <w:rPr>
            <w:rStyle w:val="Hyperlink"/>
            <w:rFonts w:cs="Arial"/>
            <w:szCs w:val="24"/>
          </w:rPr>
          <w:t>CEC Funding Resources</w:t>
        </w:r>
      </w:hyperlink>
      <w:r w:rsidR="001B024E">
        <w:rPr>
          <w:szCs w:val="24"/>
        </w:rPr>
        <w:t xml:space="preserve"> webpage</w:t>
      </w:r>
      <w:r w:rsidRPr="000C2309">
        <w:rPr>
          <w:szCs w:val="24"/>
        </w:rPr>
        <w:t>. This information is also in Section II.A.2</w:t>
      </w:r>
      <w:r w:rsidR="009C269A">
        <w:rPr>
          <w:szCs w:val="24"/>
        </w:rPr>
        <w:t xml:space="preserve"> “Terms and Conditions.”</w:t>
      </w:r>
    </w:p>
    <w:p w14:paraId="3B8F6401" w14:textId="509F08FD" w:rsidR="4FF980B5" w:rsidRPr="000C2309" w:rsidRDefault="4FF980B5">
      <w:pPr>
        <w:rPr>
          <w:szCs w:val="24"/>
        </w:rPr>
      </w:pPr>
      <w:r w:rsidRPr="000C2309">
        <w:rPr>
          <w:szCs w:val="24"/>
        </w:rPr>
        <w:t>CEC reserves the right to negotiate with Applicants to modify the project scope, the level of funding, or both. If CEC is unable to successfully negotiate and execute a funding agreement with an Applicant, CEC, at its sole discretion, reserves the right to cancel the pending award and fund the next highest ranked eligible project.</w:t>
      </w:r>
    </w:p>
    <w:p w14:paraId="4C3299D9" w14:textId="4F69FBD5" w:rsidR="4FF980B5" w:rsidRPr="000C2309" w:rsidRDefault="4FF980B5">
      <w:pPr>
        <w:rPr>
          <w:szCs w:val="24"/>
        </w:rPr>
      </w:pPr>
      <w:r w:rsidRPr="000C2309">
        <w:rPr>
          <w:szCs w:val="24"/>
        </w:rPr>
        <w:t>If proposed for an award, the CEC reserves the right to request information it deems appropriate to evaluate the financial condition of a proposed awardee, subrecipients, and vendors prior to approval of a grant award. If CEC, in its sole discretion, determines that a proposed awardee’s, a subrecipient’s, or a vendor’s financial condition may materially impact its ability to complete the proposed project, CEC reserves the right to cancel the proposed award.</w:t>
      </w:r>
    </w:p>
    <w:p w14:paraId="5EFA1221" w14:textId="46584496" w:rsidR="4FF980B5" w:rsidRPr="000C2309" w:rsidRDefault="4FF980B5" w:rsidP="00904373">
      <w:pPr>
        <w:rPr>
          <w:i/>
          <w:iCs/>
          <w:szCs w:val="24"/>
        </w:rPr>
      </w:pPr>
      <w:r w:rsidRPr="000C2309">
        <w:rPr>
          <w:szCs w:val="24"/>
        </w:rPr>
        <w:t xml:space="preserve">CEC must formally approve all proposed grant awards. </w:t>
      </w:r>
    </w:p>
    <w:p w14:paraId="2BC6ABF4" w14:textId="7C9B0A36" w:rsidR="4FF980B5" w:rsidRPr="00506012" w:rsidRDefault="4FF980B5">
      <w:pPr>
        <w:rPr>
          <w:szCs w:val="24"/>
        </w:rPr>
      </w:pPr>
      <w:r w:rsidRPr="000C2309">
        <w:rPr>
          <w:szCs w:val="24"/>
        </w:rPr>
        <w:t>Public agencies that receive funding under this solicitation must provide an authorizing resolution approved by their governing authority to enter into an agreement with CEC and designating an authorized representative to sign.</w:t>
      </w:r>
    </w:p>
    <w:p w14:paraId="0ED16A45" w14:textId="5772F853" w:rsidR="4FF980B5" w:rsidRPr="000C2309" w:rsidRDefault="4FF980B5">
      <w:pPr>
        <w:rPr>
          <w:szCs w:val="24"/>
        </w:rPr>
      </w:pPr>
      <w:r w:rsidRPr="000C2309">
        <w:rPr>
          <w:szCs w:val="24"/>
        </w:rPr>
        <w:t>CEC will send the approved agreement, including the standard terms and conditions and any additional terms and conditions, to the grant recipient for review, approval, and signature. Once the grant recipient signs, CEC will fully execute the agreement. Recipients are approved to begin the project only after full execution of the agreement.</w:t>
      </w:r>
    </w:p>
    <w:p w14:paraId="649DEFE5" w14:textId="7327DEC6" w:rsidR="4FF980B5" w:rsidRPr="000C2309" w:rsidRDefault="4FF980B5" w:rsidP="00197747">
      <w:pPr>
        <w:pStyle w:val="Heading3"/>
        <w:ind w:left="0"/>
        <w:rPr>
          <w:smallCaps/>
          <w:szCs w:val="24"/>
        </w:rPr>
      </w:pPr>
      <w:bookmarkStart w:id="254" w:name="_Toc243558582"/>
      <w:r w:rsidRPr="000C2309">
        <w:rPr>
          <w:smallCaps/>
          <w:color w:val="auto"/>
          <w:szCs w:val="24"/>
        </w:rPr>
        <w:t xml:space="preserve">No </w:t>
      </w:r>
      <w:r w:rsidRPr="00197747">
        <w:rPr>
          <w:color w:val="auto"/>
        </w:rPr>
        <w:t>Agreement</w:t>
      </w:r>
      <w:r w:rsidRPr="000C2309">
        <w:rPr>
          <w:smallCaps/>
          <w:color w:val="auto"/>
          <w:szCs w:val="24"/>
        </w:rPr>
        <w:t xml:space="preserve"> </w:t>
      </w:r>
      <w:r w:rsidRPr="00197747">
        <w:rPr>
          <w:color w:val="auto"/>
          <w:szCs w:val="24"/>
        </w:rPr>
        <w:t>Until</w:t>
      </w:r>
      <w:r w:rsidRPr="000C2309">
        <w:rPr>
          <w:smallCaps/>
          <w:color w:val="auto"/>
          <w:szCs w:val="24"/>
        </w:rPr>
        <w:t xml:space="preserve"> </w:t>
      </w:r>
      <w:r w:rsidRPr="00197747">
        <w:rPr>
          <w:color w:val="auto"/>
          <w:szCs w:val="24"/>
        </w:rPr>
        <w:t>Signed and Approved</w:t>
      </w:r>
      <w:bookmarkEnd w:id="254"/>
    </w:p>
    <w:p w14:paraId="6B7A4942" w14:textId="6AD17CF1" w:rsidR="4FF980B5" w:rsidRPr="000C2309" w:rsidRDefault="4FF980B5">
      <w:pPr>
        <w:rPr>
          <w:szCs w:val="24"/>
        </w:rPr>
      </w:pPr>
      <w:r w:rsidRPr="000C2309">
        <w:rPr>
          <w:szCs w:val="24"/>
        </w:rPr>
        <w:t>No agreement between CEC and an Applicant is in effect until the agreement is approved at a CEC Business Meeting and signed by both the grant recipient and the CEC.</w:t>
      </w:r>
    </w:p>
    <w:p w14:paraId="7672D2B6" w14:textId="2DD6AB85" w:rsidR="4FF980B5" w:rsidRPr="000C2309" w:rsidRDefault="4FF980B5">
      <w:pPr>
        <w:rPr>
          <w:szCs w:val="24"/>
        </w:rPr>
      </w:pPr>
      <w:r w:rsidRPr="000C2309">
        <w:rPr>
          <w:szCs w:val="24"/>
        </w:rPr>
        <w:t>CEC reserves the right to modify the award documents prior to executing the agreement.</w:t>
      </w:r>
    </w:p>
    <w:p w14:paraId="5B54B08B" w14:textId="2EE44D5F" w:rsidR="4FF980B5" w:rsidRPr="00197747" w:rsidRDefault="4FF980B5" w:rsidP="00197747">
      <w:pPr>
        <w:pStyle w:val="Heading3"/>
        <w:ind w:left="0"/>
        <w:rPr>
          <w:szCs w:val="24"/>
        </w:rPr>
      </w:pPr>
      <w:bookmarkStart w:id="255" w:name="_Toc243558583"/>
      <w:r w:rsidRPr="00197747">
        <w:rPr>
          <w:color w:val="auto"/>
          <w:szCs w:val="24"/>
        </w:rPr>
        <w:t>Executive Order N-6-22 – Russia Sanctions</w:t>
      </w:r>
      <w:bookmarkEnd w:id="255"/>
    </w:p>
    <w:p w14:paraId="6D6D8782" w14:textId="06A54562" w:rsidR="00197747" w:rsidRDefault="4FF980B5" w:rsidP="00197747">
      <w:pPr>
        <w:rPr>
          <w:szCs w:val="24"/>
        </w:rPr>
      </w:pPr>
      <w:r w:rsidRPr="000C2309">
        <w:rPr>
          <w:szCs w:val="24"/>
        </w:rPr>
        <w:t>On March 4, 2022, Governor Gavin Newsom issued Executive Order N-6-22 (the EO) regarding Economic Sanctions against Russia and Russian entities and</w:t>
      </w:r>
      <w:r w:rsidRPr="000C2309">
        <w:br/>
      </w:r>
      <w:r w:rsidRPr="000C2309">
        <w:rPr>
          <w:szCs w:val="24"/>
        </w:rPr>
        <w:t xml:space="preserve"> individuals. “Economic Sanctions” refers to sanctions imposed by the U.S.</w:t>
      </w:r>
      <w:r w:rsidRPr="000C2309">
        <w:br/>
      </w:r>
      <w:r w:rsidRPr="000C2309">
        <w:rPr>
          <w:szCs w:val="24"/>
        </w:rPr>
        <w:t xml:space="preserve"> government in response to Russia’s actions in Ukraine, as well as any sanctions</w:t>
      </w:r>
      <w:r w:rsidRPr="000C2309">
        <w:br/>
      </w:r>
      <w:r w:rsidRPr="000C2309">
        <w:rPr>
          <w:szCs w:val="24"/>
        </w:rPr>
        <w:t xml:space="preserve"> imposed under state law. By submitting a bid or proposal, Applicant represents</w:t>
      </w:r>
      <w:r w:rsidRPr="000C2309">
        <w:br/>
      </w:r>
      <w:r w:rsidRPr="000C2309">
        <w:rPr>
          <w:szCs w:val="24"/>
        </w:rPr>
        <w:t xml:space="preserve"> that it is not a target of Economic Sanctions. Should the State determine</w:t>
      </w:r>
      <w:r w:rsidRPr="000C2309">
        <w:br/>
      </w:r>
      <w:r w:rsidRPr="000C2309">
        <w:rPr>
          <w:szCs w:val="24"/>
        </w:rPr>
        <w:t xml:space="preserve"> Applicant is a target of Economic Sanctions or is conducting prohibited</w:t>
      </w:r>
      <w:r w:rsidRPr="000C2309">
        <w:br/>
      </w:r>
      <w:r w:rsidRPr="000C2309">
        <w:rPr>
          <w:szCs w:val="24"/>
        </w:rPr>
        <w:t xml:space="preserve"> transactions with sanctioned individuals or entities, that shall be grounds for</w:t>
      </w:r>
      <w:r w:rsidRPr="000C2309">
        <w:br/>
      </w:r>
      <w:r w:rsidRPr="000C2309">
        <w:rPr>
          <w:szCs w:val="24"/>
        </w:rPr>
        <w:t xml:space="preserve"> rejection of the Applicant’s bid/proposal any time prior to agreement execution, or, if determined after agreement execution, shall be grounds for termination by the State</w:t>
      </w:r>
      <w:r w:rsidR="00FB6D6C">
        <w:rPr>
          <w:szCs w:val="24"/>
        </w:rPr>
        <w:t>.</w:t>
      </w:r>
    </w:p>
    <w:p w14:paraId="623A6552" w14:textId="77777777" w:rsidR="00674AE1" w:rsidRPr="00197747" w:rsidRDefault="00674AE1" w:rsidP="00F163FE">
      <w:pPr>
        <w:pStyle w:val="Heading3"/>
        <w:ind w:left="180" w:hanging="450"/>
      </w:pPr>
      <w:bookmarkStart w:id="256" w:name="_Toc243558584"/>
      <w:r w:rsidRPr="00F163FE">
        <w:rPr>
          <w:color w:val="auto"/>
          <w:szCs w:val="24"/>
        </w:rPr>
        <w:lastRenderedPageBreak/>
        <w:t>Documents Relied Upon and Related</w:t>
      </w:r>
      <w:r w:rsidRPr="00197747">
        <w:t xml:space="preserve"> Websites</w:t>
      </w:r>
      <w:bookmarkEnd w:id="256"/>
    </w:p>
    <w:p w14:paraId="754DEDBA" w14:textId="77777777" w:rsidR="00674AE1" w:rsidRPr="00561641" w:rsidRDefault="00674AE1" w:rsidP="00674AE1">
      <w:pPr>
        <w:rPr>
          <w:rFonts w:eastAsia="Tahoma"/>
        </w:rPr>
      </w:pPr>
      <w:r w:rsidRPr="00561641">
        <w:rPr>
          <w:rFonts w:eastAsia="Tahoma"/>
        </w:rPr>
        <w:t xml:space="preserve">Applicants responding to this solicitation may want to </w:t>
      </w:r>
      <w:r>
        <w:rPr>
          <w:rFonts w:eastAsia="Tahoma"/>
        </w:rPr>
        <w:t>refer</w:t>
      </w:r>
      <w:r w:rsidRPr="00561641">
        <w:rPr>
          <w:rFonts w:eastAsia="Tahoma"/>
        </w:rPr>
        <w:t xml:space="preserve"> </w:t>
      </w:r>
      <w:r>
        <w:rPr>
          <w:rFonts w:eastAsia="Tahoma"/>
        </w:rPr>
        <w:t xml:space="preserve">to </w:t>
      </w:r>
      <w:r w:rsidRPr="00561641">
        <w:rPr>
          <w:rFonts w:eastAsia="Tahoma"/>
        </w:rPr>
        <w:t>the following</w:t>
      </w:r>
      <w:r>
        <w:rPr>
          <w:rFonts w:eastAsia="Tahoma"/>
        </w:rPr>
        <w:t xml:space="preserve"> resources and</w:t>
      </w:r>
      <w:r w:rsidRPr="00561641">
        <w:rPr>
          <w:rFonts w:eastAsia="Tahoma"/>
        </w:rPr>
        <w:t xml:space="preserve"> documents:</w:t>
      </w:r>
    </w:p>
    <w:p w14:paraId="49A5EAD6" w14:textId="48B3EFB3" w:rsidR="00674AE1" w:rsidRDefault="00674AE1" w:rsidP="00674AE1">
      <w:pPr>
        <w:pStyle w:val="ListParagraph"/>
        <w:numPr>
          <w:ilvl w:val="0"/>
          <w:numId w:val="37"/>
        </w:numPr>
        <w:contextualSpacing w:val="0"/>
        <w:rPr>
          <w:szCs w:val="22"/>
        </w:rPr>
      </w:pPr>
      <w:r>
        <w:rPr>
          <w:szCs w:val="22"/>
        </w:rPr>
        <w:t xml:space="preserve">California Natural Resources Agency. </w:t>
      </w:r>
      <w:hyperlink r:id="rId44" w:history="1">
        <w:r w:rsidRPr="00046EC8">
          <w:rPr>
            <w:rStyle w:val="Hyperlink"/>
            <w:rFonts w:cs="Arial"/>
            <w:i/>
            <w:iCs/>
            <w:szCs w:val="22"/>
          </w:rPr>
          <w:t>Delivering a Successful Climate Bond: Requirements &amp; Best Practices to Implement Proposition 4</w:t>
        </w:r>
      </w:hyperlink>
      <w:r>
        <w:rPr>
          <w:szCs w:val="22"/>
        </w:rPr>
        <w:t xml:space="preserve">. September 2025. </w:t>
      </w:r>
    </w:p>
    <w:p w14:paraId="7D2EEDBA" w14:textId="06CF55D1" w:rsidR="00674AE1" w:rsidRDefault="00674AE1" w:rsidP="00674AE1">
      <w:pPr>
        <w:pStyle w:val="ListParagraph"/>
        <w:numPr>
          <w:ilvl w:val="0"/>
          <w:numId w:val="37"/>
        </w:numPr>
        <w:contextualSpacing w:val="0"/>
        <w:rPr>
          <w:szCs w:val="22"/>
        </w:rPr>
      </w:pPr>
      <w:r>
        <w:rPr>
          <w:szCs w:val="22"/>
        </w:rPr>
        <w:t xml:space="preserve">California Natural Resources Agency. </w:t>
      </w:r>
      <w:hyperlink r:id="rId45" w:history="1">
        <w:r w:rsidRPr="00046EC8">
          <w:rPr>
            <w:rStyle w:val="Hyperlink"/>
            <w:rFonts w:cs="Arial"/>
            <w:i/>
            <w:iCs/>
            <w:szCs w:val="22"/>
          </w:rPr>
          <w:t>Meaningful and Direct Benefits Assessment: 2024 Climate Bond</w:t>
        </w:r>
      </w:hyperlink>
      <w:r>
        <w:rPr>
          <w:i/>
          <w:iCs/>
          <w:szCs w:val="22"/>
        </w:rPr>
        <w:t>.</w:t>
      </w:r>
    </w:p>
    <w:p w14:paraId="0C62FE8C" w14:textId="7459FB4D" w:rsidR="00674AE1" w:rsidRDefault="00674AE1" w:rsidP="00674AE1">
      <w:pPr>
        <w:pStyle w:val="ListParagraph"/>
        <w:numPr>
          <w:ilvl w:val="0"/>
          <w:numId w:val="37"/>
        </w:numPr>
        <w:contextualSpacing w:val="0"/>
        <w:rPr>
          <w:szCs w:val="22"/>
        </w:rPr>
      </w:pPr>
      <w:r>
        <w:rPr>
          <w:szCs w:val="22"/>
        </w:rPr>
        <w:t xml:space="preserve">Proposition 4 Climate Bond Language: </w:t>
      </w:r>
      <w:hyperlink r:id="rId46" w:history="1">
        <w:r w:rsidRPr="00046EC8">
          <w:rPr>
            <w:rStyle w:val="Hyperlink"/>
            <w:rFonts w:cs="Arial"/>
            <w:szCs w:val="22"/>
          </w:rPr>
          <w:t>Senate Bill 867 (Allen, Chapter 83, Statutes of 2024), The Safe Drinking Water, Wildfire Prevention, Drought Preparedness, and Clean Air Bond Act of 2024</w:t>
        </w:r>
      </w:hyperlink>
      <w:r>
        <w:rPr>
          <w:szCs w:val="22"/>
        </w:rPr>
        <w:t>.</w:t>
      </w:r>
    </w:p>
    <w:p w14:paraId="4CCBEBA5" w14:textId="7300AA7C" w:rsidR="00674AE1" w:rsidRPr="00D858FA" w:rsidRDefault="00046EC8" w:rsidP="00674AE1">
      <w:pPr>
        <w:pStyle w:val="ListParagraph"/>
        <w:numPr>
          <w:ilvl w:val="0"/>
          <w:numId w:val="37"/>
        </w:numPr>
        <w:spacing w:after="0"/>
        <w:contextualSpacing w:val="0"/>
        <w:rPr>
          <w:szCs w:val="22"/>
        </w:rPr>
      </w:pPr>
      <w:hyperlink r:id="rId47" w:history="1">
        <w:r w:rsidR="00674AE1" w:rsidRPr="00046EC8">
          <w:rPr>
            <w:rStyle w:val="Hyperlink"/>
            <w:rFonts w:eastAsia="Arial" w:cs="Arial"/>
          </w:rPr>
          <w:t>Vulnerable Communities Platform (VCP) Tool</w:t>
        </w:r>
      </w:hyperlink>
      <w:r>
        <w:rPr>
          <w:rFonts w:eastAsia="Arial"/>
          <w:color w:val="000000" w:themeColor="text1"/>
        </w:rPr>
        <w:t>.</w:t>
      </w:r>
      <w:r w:rsidR="00674AE1" w:rsidRPr="00256D45">
        <w:rPr>
          <w:rFonts w:eastAsia="Arial"/>
          <w:color w:val="000000" w:themeColor="text1"/>
        </w:rPr>
        <w:t xml:space="preserve"> </w:t>
      </w:r>
    </w:p>
    <w:p w14:paraId="379CE715" w14:textId="12C60357" w:rsidR="00674AE1" w:rsidRPr="00256D45" w:rsidRDefault="00046EC8" w:rsidP="00CF71C8">
      <w:pPr>
        <w:pStyle w:val="ListParagraph"/>
        <w:numPr>
          <w:ilvl w:val="0"/>
          <w:numId w:val="37"/>
        </w:numPr>
        <w:spacing w:before="240"/>
        <w:contextualSpacing w:val="0"/>
        <w:rPr>
          <w:rFonts w:eastAsia="Arial"/>
          <w:color w:val="000000" w:themeColor="text1"/>
        </w:rPr>
      </w:pPr>
      <w:hyperlink r:id="rId48" w:history="1">
        <w:r w:rsidR="00674AE1" w:rsidRPr="00046EC8">
          <w:rPr>
            <w:rStyle w:val="Hyperlink"/>
            <w:rFonts w:eastAsia="Arial" w:cs="Arial"/>
          </w:rPr>
          <w:t>Climate Bond Disadvantaged Communities Map</w:t>
        </w:r>
      </w:hyperlink>
      <w:r>
        <w:rPr>
          <w:rFonts w:eastAsia="Arial"/>
          <w:color w:val="000000" w:themeColor="text1"/>
        </w:rPr>
        <w:t>.</w:t>
      </w:r>
      <w:r w:rsidR="00674AE1" w:rsidRPr="00256D45">
        <w:rPr>
          <w:rFonts w:eastAsia="Arial"/>
          <w:color w:val="000000" w:themeColor="text1"/>
        </w:rPr>
        <w:t xml:space="preserve"> </w:t>
      </w:r>
    </w:p>
    <w:p w14:paraId="1959D9C3" w14:textId="73C7E644" w:rsidR="00674AE1" w:rsidRDefault="00674AE1" w:rsidP="00674AE1">
      <w:pPr>
        <w:pStyle w:val="ListParagraph"/>
        <w:numPr>
          <w:ilvl w:val="0"/>
          <w:numId w:val="37"/>
        </w:numPr>
        <w:contextualSpacing w:val="0"/>
        <w:rPr>
          <w:szCs w:val="22"/>
        </w:rPr>
      </w:pPr>
      <w:r w:rsidRPr="00281148">
        <w:rPr>
          <w:szCs w:val="22"/>
        </w:rPr>
        <w:t xml:space="preserve">Spivey, Hudson, Ashley Emery, Erik Lyon, O’Shea Bennett, and Pamela Doughman. October 2023. </w:t>
      </w:r>
      <w:hyperlink r:id="rId49" w:history="1">
        <w:r w:rsidRPr="00281148">
          <w:rPr>
            <w:rStyle w:val="Hyperlink"/>
            <w:i/>
            <w:szCs w:val="22"/>
          </w:rPr>
          <w:t>Distributed Electricity Backup Assets Program Guidelines</w:t>
        </w:r>
      </w:hyperlink>
      <w:r w:rsidRPr="00281148">
        <w:rPr>
          <w:i/>
          <w:szCs w:val="22"/>
        </w:rPr>
        <w:t>, First Edition</w:t>
      </w:r>
      <w:r w:rsidRPr="00281148">
        <w:rPr>
          <w:szCs w:val="22"/>
        </w:rPr>
        <w:t xml:space="preserve">. California Energy Commission. Publication Number: CEC-300-2023-005-CMF. </w:t>
      </w:r>
    </w:p>
    <w:p w14:paraId="1102260B" w14:textId="77777777" w:rsidR="0008209F" w:rsidRDefault="0008209F" w:rsidP="00845701">
      <w:pPr>
        <w:spacing w:after="160" w:line="278" w:lineRule="auto"/>
      </w:pPr>
    </w:p>
    <w:sectPr w:rsidR="0008209F" w:rsidSect="00747A46">
      <w:footerReference w:type="default" r:id="rId50"/>
      <w:pgSz w:w="12240" w:h="15840" w:code="1"/>
      <w:pgMar w:top="1440" w:right="1440" w:bottom="1440" w:left="144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ED1AF" w14:textId="77777777" w:rsidR="00C361E6" w:rsidRDefault="00C361E6" w:rsidP="00674AE1">
      <w:pPr>
        <w:spacing w:after="0"/>
      </w:pPr>
      <w:r>
        <w:separator/>
      </w:r>
    </w:p>
  </w:endnote>
  <w:endnote w:type="continuationSeparator" w:id="0">
    <w:p w14:paraId="52950818" w14:textId="77777777" w:rsidR="00C361E6" w:rsidRDefault="00C361E6" w:rsidP="00674AE1">
      <w:pPr>
        <w:spacing w:after="0"/>
      </w:pPr>
      <w:r>
        <w:continuationSeparator/>
      </w:r>
    </w:p>
  </w:endnote>
  <w:endnote w:type="continuationNotice" w:id="1">
    <w:p w14:paraId="3A00CE72" w14:textId="77777777" w:rsidR="00C361E6" w:rsidRDefault="00C361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00674AE1" w14:paraId="0853D7B6" w14:textId="77777777">
      <w:trPr>
        <w:trHeight w:val="300"/>
      </w:trPr>
      <w:tc>
        <w:tcPr>
          <w:tcW w:w="3120" w:type="dxa"/>
        </w:tcPr>
        <w:p w14:paraId="288ED448" w14:textId="1667FC30" w:rsidR="00674AE1" w:rsidRDefault="00674AE1">
          <w:pPr>
            <w:pStyle w:val="Header"/>
            <w:ind w:left="-115"/>
          </w:pPr>
        </w:p>
      </w:tc>
      <w:tc>
        <w:tcPr>
          <w:tcW w:w="3120" w:type="dxa"/>
        </w:tcPr>
        <w:p w14:paraId="0A729C9C" w14:textId="77777777" w:rsidR="00674AE1" w:rsidRDefault="00674AE1">
          <w:pPr>
            <w:pStyle w:val="Header"/>
            <w:jc w:val="center"/>
          </w:pPr>
        </w:p>
      </w:tc>
      <w:tc>
        <w:tcPr>
          <w:tcW w:w="3120" w:type="dxa"/>
        </w:tcPr>
        <w:p w14:paraId="69EEC6F7" w14:textId="77777777" w:rsidR="00674AE1" w:rsidRDefault="00674AE1">
          <w:pPr>
            <w:pStyle w:val="Header"/>
            <w:ind w:right="-115"/>
            <w:jc w:val="right"/>
          </w:pPr>
        </w:p>
      </w:tc>
    </w:tr>
  </w:tbl>
  <w:p w14:paraId="13871CC3" w14:textId="273F1334" w:rsidR="00674AE1" w:rsidRDefault="00554DC9" w:rsidP="00554DC9">
    <w:pPr>
      <w:pStyle w:val="Footer"/>
      <w:tabs>
        <w:tab w:val="clear" w:pos="4320"/>
        <w:tab w:val="clear" w:pos="8640"/>
        <w:tab w:val="left" w:pos="63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5BEE" w14:textId="77777777" w:rsidR="00674AE1" w:rsidRDefault="00674AE1"/>
  <w:p w14:paraId="3D0C667E" w14:textId="77777777" w:rsidR="00674AE1" w:rsidRDefault="00674AE1"/>
  <w:p w14:paraId="1FC4CFFC" w14:textId="77777777" w:rsidR="00674AE1" w:rsidRDefault="00674AE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953D" w14:textId="7EEB37CE" w:rsidR="00674AE1" w:rsidRDefault="0021004C">
    <w:pPr>
      <w:pStyle w:val="Footer"/>
      <w:spacing w:after="0"/>
      <w:rPr>
        <w:b/>
        <w:bCs/>
        <w:sz w:val="20"/>
        <w:szCs w:val="16"/>
        <w:u w:val="single"/>
      </w:rPr>
    </w:pPr>
    <w:r>
      <w:rPr>
        <w:sz w:val="20"/>
        <w:szCs w:val="16"/>
      </w:rPr>
      <w:t>October</w:t>
    </w:r>
    <w:r w:rsidR="00674AE1">
      <w:rPr>
        <w:sz w:val="20"/>
        <w:szCs w:val="16"/>
      </w:rPr>
      <w:t xml:space="preserve"> 2026</w:t>
    </w:r>
    <w:r w:rsidR="00674AE1" w:rsidRPr="00281BA3">
      <w:rPr>
        <w:sz w:val="20"/>
        <w:szCs w:val="16"/>
      </w:rPr>
      <w:ptab w:relativeTo="margin" w:alignment="center" w:leader="none"/>
    </w:r>
    <w:r w:rsidR="00674AE1" w:rsidRPr="00281BA3">
      <w:rPr>
        <w:rFonts w:eastAsiaTheme="minorEastAsia" w:cs="Tahoma"/>
        <w:sz w:val="20"/>
      </w:rPr>
      <w:fldChar w:fldCharType="begin"/>
    </w:r>
    <w:r w:rsidR="00674AE1" w:rsidRPr="00281BA3">
      <w:rPr>
        <w:sz w:val="20"/>
        <w:szCs w:val="16"/>
      </w:rPr>
      <w:instrText xml:space="preserve"> PAGE    \* MERGEFORMAT </w:instrText>
    </w:r>
    <w:r w:rsidR="00674AE1" w:rsidRPr="00281BA3">
      <w:rPr>
        <w:rFonts w:eastAsiaTheme="minorEastAsia" w:cs="Tahoma"/>
        <w:sz w:val="20"/>
      </w:rPr>
      <w:fldChar w:fldCharType="separate"/>
    </w:r>
    <w:r w:rsidR="00674AE1" w:rsidRPr="00281BA3">
      <w:rPr>
        <w:rFonts w:eastAsiaTheme="majorEastAsia" w:cs="Tahoma"/>
        <w:sz w:val="20"/>
      </w:rPr>
      <w:t>1</w:t>
    </w:r>
    <w:r w:rsidR="00674AE1" w:rsidRPr="00281BA3">
      <w:rPr>
        <w:rFonts w:eastAsiaTheme="majorEastAsia" w:cs="Tahoma"/>
        <w:sz w:val="20"/>
      </w:rPr>
      <w:fldChar w:fldCharType="end"/>
    </w:r>
    <w:r w:rsidR="00674AE1" w:rsidRPr="00281BA3">
      <w:rPr>
        <w:sz w:val="20"/>
        <w:szCs w:val="16"/>
      </w:rPr>
      <w:ptab w:relativeTo="margin" w:alignment="right" w:leader="none"/>
    </w:r>
    <w:r w:rsidR="00674AE1" w:rsidRPr="00281BA3">
      <w:rPr>
        <w:sz w:val="20"/>
        <w:szCs w:val="16"/>
      </w:rPr>
      <w:t>GFO</w:t>
    </w:r>
    <w:r w:rsidR="00674AE1" w:rsidRPr="0047512F">
      <w:rPr>
        <w:sz w:val="20"/>
        <w:szCs w:val="16"/>
      </w:rPr>
      <w:t>-26-</w:t>
    </w:r>
    <w:r w:rsidR="00DA3BFC">
      <w:rPr>
        <w:sz w:val="20"/>
        <w:szCs w:val="16"/>
      </w:rPr>
      <w:t>503</w:t>
    </w:r>
  </w:p>
  <w:p w14:paraId="04211658" w14:textId="77777777" w:rsidR="00ED352B" w:rsidRDefault="00674AE1">
    <w:pPr>
      <w:pStyle w:val="Footer"/>
      <w:tabs>
        <w:tab w:val="clear" w:pos="8640"/>
      </w:tabs>
      <w:spacing w:after="0"/>
      <w:jc w:val="right"/>
      <w:rPr>
        <w:sz w:val="20"/>
        <w:szCs w:val="16"/>
      </w:rPr>
    </w:pPr>
    <w:r w:rsidRPr="00BC7591">
      <w:rPr>
        <w:sz w:val="20"/>
        <w:szCs w:val="16"/>
      </w:rPr>
      <w:tab/>
    </w:r>
    <w:r>
      <w:rPr>
        <w:sz w:val="20"/>
        <w:szCs w:val="16"/>
      </w:rPr>
      <w:t xml:space="preserve">                                                                    </w:t>
    </w:r>
    <w:r w:rsidR="00CC2038">
      <w:rPr>
        <w:sz w:val="20"/>
        <w:szCs w:val="16"/>
      </w:rPr>
      <w:t>Distributed Electricity Backup Assets</w:t>
    </w:r>
    <w:r w:rsidR="00ED352B">
      <w:rPr>
        <w:sz w:val="20"/>
        <w:szCs w:val="16"/>
      </w:rPr>
      <w:t xml:space="preserve"> Program</w:t>
    </w:r>
  </w:p>
  <w:p w14:paraId="3A441E67" w14:textId="64F4B798" w:rsidR="00674AE1" w:rsidRPr="00C64566" w:rsidRDefault="00ED352B">
    <w:pPr>
      <w:pStyle w:val="Footer"/>
      <w:tabs>
        <w:tab w:val="clear" w:pos="8640"/>
      </w:tabs>
      <w:spacing w:after="0"/>
      <w:jc w:val="right"/>
      <w:rPr>
        <w:b/>
        <w:sz w:val="20"/>
        <w:szCs w:val="16"/>
        <w:u w:val="single"/>
      </w:rPr>
    </w:pPr>
    <w:r>
      <w:rPr>
        <w:sz w:val="20"/>
        <w:szCs w:val="16"/>
      </w:rPr>
      <w:t xml:space="preserve">Distributed Energy Resources </w:t>
    </w:r>
    <w:r w:rsidR="00E40436">
      <w:rPr>
        <w:sz w:val="20"/>
        <w:szCs w:val="16"/>
      </w:rPr>
      <w:t>(</w:t>
    </w:r>
    <w:r w:rsidR="006F69D4">
      <w:rPr>
        <w:sz w:val="20"/>
        <w:szCs w:val="16"/>
      </w:rPr>
      <w:t>DERs</w:t>
    </w:r>
    <w:r w:rsidR="00E40436">
      <w:rPr>
        <w:sz w:val="20"/>
        <w:szCs w:val="16"/>
      </w:rPr>
      <w:t>)</w:t>
    </w:r>
    <w:r w:rsidR="006F69D4">
      <w:rPr>
        <w:sz w:val="20"/>
        <w:szCs w:val="16"/>
      </w:rPr>
      <w:t xml:space="preserve"> for </w:t>
    </w:r>
    <w:r w:rsidR="006437E9">
      <w:rPr>
        <w:sz w:val="20"/>
        <w:szCs w:val="16"/>
      </w:rPr>
      <w:t xml:space="preserve">Grid </w:t>
    </w:r>
    <w:r w:rsidR="006F69D4">
      <w:rPr>
        <w:sz w:val="20"/>
        <w:szCs w:val="16"/>
      </w:rPr>
      <w:t>Reliability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141998374"/>
      <w:docPartObj>
        <w:docPartGallery w:val="Page Numbers (Bottom of Page)"/>
        <w:docPartUnique/>
      </w:docPartObj>
    </w:sdtPr>
    <w:sdtContent>
      <w:sdt>
        <w:sdtPr>
          <w:rPr>
            <w:sz w:val="20"/>
          </w:rPr>
          <w:id w:val="-1479151088"/>
          <w:docPartObj>
            <w:docPartGallery w:val="Page Numbers (Top of Page)"/>
            <w:docPartUnique/>
          </w:docPartObj>
        </w:sdtPr>
        <w:sdtContent>
          <w:p w14:paraId="5B8B3B33" w14:textId="7E0A9111" w:rsidR="00923193" w:rsidRDefault="0021004C" w:rsidP="006864C9">
            <w:pPr>
              <w:pStyle w:val="Footer"/>
              <w:tabs>
                <w:tab w:val="clear" w:pos="8640"/>
                <w:tab w:val="right" w:pos="9270"/>
              </w:tabs>
              <w:spacing w:after="0"/>
              <w:rPr>
                <w:sz w:val="20"/>
              </w:rPr>
            </w:pPr>
            <w:r>
              <w:rPr>
                <w:sz w:val="20"/>
              </w:rPr>
              <w:t>October</w:t>
            </w:r>
            <w:r w:rsidR="00923193">
              <w:rPr>
                <w:sz w:val="20"/>
              </w:rPr>
              <w:t xml:space="preserve"> 2026</w:t>
            </w:r>
            <w:r w:rsidR="006864C9">
              <w:rPr>
                <w:sz w:val="20"/>
              </w:rPr>
              <w:tab/>
              <w:t xml:space="preserve">           </w:t>
            </w:r>
            <w:r w:rsidR="00923193">
              <w:rPr>
                <w:sz w:val="20"/>
              </w:rPr>
              <w:t xml:space="preserve"> </w:t>
            </w:r>
            <w:r w:rsidR="006531D2" w:rsidRPr="006864C9">
              <w:rPr>
                <w:rFonts w:eastAsiaTheme="majorEastAsia" w:cs="Tahoma"/>
                <w:sz w:val="20"/>
              </w:rPr>
              <w:fldChar w:fldCharType="begin"/>
            </w:r>
            <w:r w:rsidR="006531D2" w:rsidRPr="006864C9">
              <w:rPr>
                <w:rFonts w:eastAsiaTheme="majorEastAsia" w:cs="Tahoma"/>
                <w:sz w:val="20"/>
              </w:rPr>
              <w:instrText xml:space="preserve"> PAGE   \* MERGEFORMAT </w:instrText>
            </w:r>
            <w:r w:rsidR="006531D2" w:rsidRPr="006864C9">
              <w:rPr>
                <w:rFonts w:eastAsiaTheme="majorEastAsia" w:cs="Tahoma"/>
                <w:sz w:val="20"/>
              </w:rPr>
              <w:fldChar w:fldCharType="separate"/>
            </w:r>
            <w:r w:rsidR="006531D2" w:rsidRPr="006864C9">
              <w:rPr>
                <w:rFonts w:eastAsiaTheme="majorEastAsia" w:cs="Tahoma"/>
                <w:sz w:val="20"/>
              </w:rPr>
              <w:t>2</w:t>
            </w:r>
            <w:r w:rsidR="006531D2" w:rsidRPr="006864C9">
              <w:rPr>
                <w:rFonts w:eastAsiaTheme="majorEastAsia" w:cs="Tahoma"/>
                <w:sz w:val="20"/>
              </w:rPr>
              <w:fldChar w:fldCharType="end"/>
            </w:r>
            <w:r w:rsidR="00923193">
              <w:rPr>
                <w:b/>
                <w:bCs/>
                <w:sz w:val="20"/>
              </w:rPr>
              <w:t xml:space="preserve">    </w:t>
            </w:r>
            <w:r w:rsidR="006864C9">
              <w:rPr>
                <w:b/>
                <w:bCs/>
                <w:sz w:val="20"/>
              </w:rPr>
              <w:tab/>
            </w:r>
            <w:r w:rsidR="00923193" w:rsidRPr="00B03B3E">
              <w:rPr>
                <w:sz w:val="20"/>
              </w:rPr>
              <w:t>GFO-26-</w:t>
            </w:r>
            <w:r w:rsidR="001B11AD">
              <w:rPr>
                <w:sz w:val="20"/>
              </w:rPr>
              <w:t>503</w:t>
            </w:r>
          </w:p>
          <w:p w14:paraId="74DB2A5A" w14:textId="77777777" w:rsidR="006052E7" w:rsidRDefault="00923193" w:rsidP="00B03B3E">
            <w:pPr>
              <w:pStyle w:val="Footer"/>
              <w:spacing w:after="0"/>
              <w:jc w:val="right"/>
              <w:rPr>
                <w:sz w:val="20"/>
                <w:szCs w:val="16"/>
              </w:rPr>
            </w:pPr>
            <w:r>
              <w:rPr>
                <w:sz w:val="20"/>
                <w:szCs w:val="16"/>
              </w:rPr>
              <w:t xml:space="preserve">  </w:t>
            </w:r>
            <w:r w:rsidR="006052E7">
              <w:rPr>
                <w:sz w:val="20"/>
                <w:szCs w:val="16"/>
              </w:rPr>
              <w:t>Distributed Electricity Backup Assets Program</w:t>
            </w:r>
          </w:p>
          <w:p w14:paraId="076B0CB1" w14:textId="3701CB0E" w:rsidR="00923193" w:rsidRPr="0095314C" w:rsidRDefault="006052E7" w:rsidP="00B03B3E">
            <w:pPr>
              <w:pStyle w:val="Footer"/>
              <w:spacing w:after="0"/>
              <w:jc w:val="right"/>
              <w:rPr>
                <w:sz w:val="20"/>
              </w:rPr>
            </w:pPr>
            <w:r>
              <w:rPr>
                <w:sz w:val="20"/>
                <w:szCs w:val="16"/>
              </w:rPr>
              <w:t>Distributed Energy Resources (</w:t>
            </w:r>
            <w:r w:rsidR="00923193">
              <w:rPr>
                <w:sz w:val="20"/>
                <w:szCs w:val="16"/>
              </w:rPr>
              <w:t>DERs</w:t>
            </w:r>
            <w:r>
              <w:rPr>
                <w:sz w:val="20"/>
                <w:szCs w:val="16"/>
              </w:rPr>
              <w:t>)</w:t>
            </w:r>
            <w:r w:rsidR="00923193">
              <w:rPr>
                <w:sz w:val="20"/>
                <w:szCs w:val="16"/>
              </w:rPr>
              <w:t xml:space="preserve"> for Grid Reliability</w:t>
            </w:r>
          </w:p>
        </w:sdtContent>
      </w:sdt>
    </w:sdtContent>
  </w:sdt>
  <w:p w14:paraId="30D28AC3" w14:textId="75DC0416" w:rsidR="00923193" w:rsidRPr="00C64566" w:rsidRDefault="00923193">
    <w:pPr>
      <w:pStyle w:val="Footer"/>
      <w:tabs>
        <w:tab w:val="left" w:pos="8550"/>
      </w:tabs>
      <w:spacing w:after="0"/>
      <w:jc w:val="right"/>
      <w:rPr>
        <w:b/>
        <w:bCs/>
        <w:sz w:val="20"/>
        <w:szCs w:val="16"/>
        <w:u w:val="singl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50082558"/>
      <w:docPartObj>
        <w:docPartGallery w:val="Page Numbers (Bottom of Page)"/>
        <w:docPartUnique/>
      </w:docPartObj>
    </w:sdtPr>
    <w:sdtContent>
      <w:sdt>
        <w:sdtPr>
          <w:rPr>
            <w:sz w:val="20"/>
          </w:rPr>
          <w:id w:val="-1453328351"/>
          <w:docPartObj>
            <w:docPartGallery w:val="Page Numbers (Top of Page)"/>
            <w:docPartUnique/>
          </w:docPartObj>
        </w:sdtPr>
        <w:sdtContent>
          <w:p w14:paraId="386EEC54" w14:textId="3529A7F9" w:rsidR="00747A46" w:rsidRDefault="00747A46" w:rsidP="00B03B3E">
            <w:pPr>
              <w:pStyle w:val="Footer"/>
              <w:tabs>
                <w:tab w:val="clear" w:pos="8640"/>
                <w:tab w:val="right" w:pos="9270"/>
              </w:tabs>
              <w:spacing w:after="0"/>
              <w:jc w:val="center"/>
              <w:rPr>
                <w:sz w:val="20"/>
              </w:rPr>
            </w:pPr>
            <w:r>
              <w:rPr>
                <w:sz w:val="20"/>
              </w:rPr>
              <w:t xml:space="preserve">October 2026                                     </w:t>
            </w:r>
            <w:r w:rsidRPr="00406768">
              <w:rPr>
                <w:sz w:val="20"/>
              </w:rPr>
              <w:t xml:space="preserve">Page </w:t>
            </w:r>
            <w:r w:rsidRPr="00406768">
              <w:rPr>
                <w:sz w:val="20"/>
              </w:rPr>
              <w:fldChar w:fldCharType="begin"/>
            </w:r>
            <w:r w:rsidRPr="00406768">
              <w:rPr>
                <w:sz w:val="20"/>
              </w:rPr>
              <w:instrText xml:space="preserve"> PAGE   \* MERGEFORMAT </w:instrText>
            </w:r>
            <w:r w:rsidRPr="00406768">
              <w:rPr>
                <w:sz w:val="20"/>
              </w:rPr>
              <w:fldChar w:fldCharType="separate"/>
            </w:r>
            <w:r w:rsidRPr="00406768">
              <w:rPr>
                <w:noProof/>
                <w:sz w:val="20"/>
              </w:rPr>
              <w:t>2</w:t>
            </w:r>
            <w:r w:rsidRPr="00406768">
              <w:rPr>
                <w:sz w:val="20"/>
              </w:rPr>
              <w:fldChar w:fldCharType="end"/>
            </w:r>
            <w:r w:rsidRPr="00406768">
              <w:rPr>
                <w:sz w:val="20"/>
              </w:rPr>
              <w:t xml:space="preserve"> of </w:t>
            </w:r>
            <w:r w:rsidRPr="00406768">
              <w:rPr>
                <w:sz w:val="20"/>
              </w:rPr>
              <w:fldChar w:fldCharType="begin"/>
            </w:r>
            <w:r w:rsidRPr="00406768">
              <w:rPr>
                <w:sz w:val="20"/>
              </w:rPr>
              <w:instrText xml:space="preserve"> SECTIONPAGES   \* MERGEFORMAT </w:instrText>
            </w:r>
            <w:r w:rsidRPr="00406768">
              <w:rPr>
                <w:sz w:val="20"/>
              </w:rPr>
              <w:fldChar w:fldCharType="separate"/>
            </w:r>
            <w:r w:rsidR="009E551D">
              <w:rPr>
                <w:noProof/>
                <w:sz w:val="20"/>
              </w:rPr>
              <w:t>71</w:t>
            </w:r>
            <w:r w:rsidRPr="00406768">
              <w:rPr>
                <w:sz w:val="20"/>
              </w:rPr>
              <w:fldChar w:fldCharType="end"/>
            </w:r>
            <w:r>
              <w:rPr>
                <w:b/>
                <w:bCs/>
                <w:sz w:val="20"/>
              </w:rPr>
              <w:tab/>
              <w:t xml:space="preserve">    </w:t>
            </w:r>
            <w:r w:rsidRPr="00B03B3E">
              <w:rPr>
                <w:sz w:val="20"/>
              </w:rPr>
              <w:t>GFO-26-</w:t>
            </w:r>
            <w:r>
              <w:rPr>
                <w:sz w:val="20"/>
              </w:rPr>
              <w:t>503</w:t>
            </w:r>
          </w:p>
          <w:p w14:paraId="126D1E92" w14:textId="77777777" w:rsidR="00747A46" w:rsidRDefault="00747A46" w:rsidP="00B03B3E">
            <w:pPr>
              <w:pStyle w:val="Footer"/>
              <w:spacing w:after="0"/>
              <w:jc w:val="right"/>
              <w:rPr>
                <w:sz w:val="20"/>
                <w:szCs w:val="16"/>
              </w:rPr>
            </w:pPr>
            <w:r>
              <w:rPr>
                <w:sz w:val="20"/>
                <w:szCs w:val="16"/>
              </w:rPr>
              <w:t xml:space="preserve">  Distributed Electricity Backup Assets Program</w:t>
            </w:r>
          </w:p>
          <w:p w14:paraId="7F3A8886" w14:textId="77777777" w:rsidR="00747A46" w:rsidRPr="0095314C" w:rsidRDefault="00747A46" w:rsidP="00B03B3E">
            <w:pPr>
              <w:pStyle w:val="Footer"/>
              <w:spacing w:after="0"/>
              <w:jc w:val="right"/>
              <w:rPr>
                <w:sz w:val="20"/>
              </w:rPr>
            </w:pPr>
            <w:r>
              <w:rPr>
                <w:sz w:val="20"/>
                <w:szCs w:val="16"/>
              </w:rPr>
              <w:t>Distributed Energy Resources (DERs) for Grid Reliability</w:t>
            </w:r>
          </w:p>
        </w:sdtContent>
      </w:sdt>
    </w:sdtContent>
  </w:sdt>
  <w:p w14:paraId="03947372" w14:textId="77777777" w:rsidR="00747A46" w:rsidRPr="00C64566" w:rsidRDefault="00747A46">
    <w:pPr>
      <w:pStyle w:val="Footer"/>
      <w:tabs>
        <w:tab w:val="left" w:pos="8550"/>
      </w:tabs>
      <w:spacing w:after="0"/>
      <w:jc w:val="right"/>
      <w:rPr>
        <w:b/>
        <w:bCs/>
        <w:sz w:val="20"/>
        <w:szCs w:val="16"/>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603F2" w14:textId="77777777" w:rsidR="00C361E6" w:rsidRDefault="00C361E6" w:rsidP="008A451A">
      <w:r>
        <w:separator/>
      </w:r>
    </w:p>
  </w:footnote>
  <w:footnote w:type="continuationSeparator" w:id="0">
    <w:p w14:paraId="6067FFFD" w14:textId="77777777" w:rsidR="00C361E6" w:rsidRDefault="00C361E6" w:rsidP="00674AE1">
      <w:pPr>
        <w:spacing w:after="0"/>
      </w:pPr>
      <w:r>
        <w:continuationSeparator/>
      </w:r>
    </w:p>
  </w:footnote>
  <w:footnote w:type="continuationNotice" w:id="1">
    <w:p w14:paraId="433F59D7" w14:textId="77777777" w:rsidR="00C361E6" w:rsidRDefault="00C361E6">
      <w:pPr>
        <w:spacing w:after="0"/>
      </w:pPr>
    </w:p>
  </w:footnote>
  <w:footnote w:id="2">
    <w:p w14:paraId="6D610B85" w14:textId="77777777" w:rsidR="00674AE1" w:rsidRDefault="00674AE1" w:rsidP="00674AE1">
      <w:pPr>
        <w:pStyle w:val="FootnoteText"/>
      </w:pPr>
      <w:r>
        <w:rPr>
          <w:rStyle w:val="FootnoteReference"/>
        </w:rPr>
        <w:footnoteRef/>
      </w:r>
      <w:r w:rsidRPr="000717B7" w:rsidDel="00470EF5">
        <w:t xml:space="preserve"> </w:t>
      </w:r>
      <w:r>
        <w:t>Pacific Standard Time or Pacific Daylight Time, whichever is being observed.</w:t>
      </w:r>
    </w:p>
  </w:footnote>
  <w:footnote w:id="3">
    <w:p w14:paraId="684C7DDC" w14:textId="279C5A7A" w:rsidR="00012EA8" w:rsidRDefault="00012EA8">
      <w:pPr>
        <w:pStyle w:val="FootnoteText"/>
      </w:pPr>
      <w:r>
        <w:rPr>
          <w:rStyle w:val="FootnoteReference"/>
        </w:rPr>
        <w:footnoteRef/>
      </w:r>
      <w:r>
        <w:t xml:space="preserve"> </w:t>
      </w:r>
      <w:r w:rsidR="00902CFD">
        <w:t xml:space="preserve">This deadline does not apply to non-technical questions (e.g., administrative questions concerning application format requirements or attachment instructions), including questions regarding application submission in the ECAMS system or to questions that address an </w:t>
      </w:r>
      <w:r w:rsidR="00902CFD">
        <w:rPr>
          <w:szCs w:val="22"/>
        </w:rPr>
        <w:t>ambiguity, conflict, discrepancy, omission, or other error in the solicitation</w:t>
      </w:r>
      <w:r w:rsidR="00902CFD">
        <w:t>. Such questions may be submitted to the CAO listed in Section I.G. at any time prior to 5:00 p.m. of the application deadline date.  Please see Section I.G. for additional information.</w:t>
      </w:r>
    </w:p>
  </w:footnote>
  <w:footnote w:id="4">
    <w:p w14:paraId="5866BE2C" w14:textId="3049E54C" w:rsidR="00755395" w:rsidRDefault="00755395">
      <w:pPr>
        <w:pStyle w:val="FootnoteText"/>
      </w:pPr>
      <w:r>
        <w:rPr>
          <w:rStyle w:val="FootnoteReference"/>
        </w:rPr>
        <w:footnoteRef/>
      </w:r>
      <w:r>
        <w:t xml:space="preserve"> </w:t>
      </w:r>
      <w:r w:rsidR="00BB46F2">
        <w:t xml:space="preserve">Minimum match funding </w:t>
      </w:r>
      <w:r w:rsidR="00937049">
        <w:t xml:space="preserve">required is reduced for qualifying applicants. See section </w:t>
      </w:r>
      <w:r w:rsidR="00865861">
        <w:t>I.E</w:t>
      </w:r>
      <w:r w:rsidR="000327CB">
        <w:t xml:space="preserve">.5 </w:t>
      </w:r>
      <w:r w:rsidR="00D20E06">
        <w:t xml:space="preserve">“Match Funding Requirement” </w:t>
      </w:r>
      <w:r w:rsidR="000327CB">
        <w:t>for details.</w:t>
      </w:r>
    </w:p>
  </w:footnote>
  <w:footnote w:id="5">
    <w:p w14:paraId="3F03CF66" w14:textId="53BC90DF" w:rsidR="00674AE1" w:rsidRDefault="00674AE1" w:rsidP="00674AE1">
      <w:pPr>
        <w:pStyle w:val="FootnoteText"/>
      </w:pPr>
      <w:r>
        <w:rPr>
          <w:rStyle w:val="FootnoteReference"/>
        </w:rPr>
        <w:footnoteRef/>
      </w:r>
      <w:r>
        <w:t xml:space="preserve"> </w:t>
      </w:r>
      <w:hyperlink r:id="rId1" w:history="1">
        <w:r w:rsidRPr="00A801F9">
          <w:rPr>
            <w:rStyle w:val="Hyperlink"/>
            <w:rFonts w:cs="Arial"/>
          </w:rPr>
          <w:t>Senate Bill 867 (Allen, Chapter 83, Statutes of 2024), Public Resources Code section 90110</w:t>
        </w:r>
      </w:hyperlink>
      <w:r>
        <w:t>.</w:t>
      </w:r>
    </w:p>
  </w:footnote>
  <w:footnote w:id="6">
    <w:p w14:paraId="5FCD2633" w14:textId="692AED51" w:rsidR="0040132F" w:rsidRDefault="0040132F">
      <w:pPr>
        <w:pStyle w:val="FootnoteText"/>
      </w:pPr>
      <w:r w:rsidRPr="005D1CD3">
        <w:rPr>
          <w:rStyle w:val="FootnoteReference"/>
          <w:vertAlign w:val="baseline"/>
        </w:rPr>
        <w:footnoteRef/>
      </w:r>
      <w:r>
        <w:t xml:space="preserve"> Zero-emission </w:t>
      </w:r>
      <w:r w:rsidR="008F137C">
        <w:t>means</w:t>
      </w:r>
      <w:r w:rsidR="00C122BE">
        <w:t xml:space="preserve"> the </w:t>
      </w:r>
      <w:r w:rsidR="008E75A2">
        <w:t>absence</w:t>
      </w:r>
      <w:r w:rsidR="00C122BE">
        <w:t xml:space="preserve"> of</w:t>
      </w:r>
      <w:r w:rsidR="00D12A19">
        <w:t xml:space="preserve"> greenhouse gas</w:t>
      </w:r>
      <w:r w:rsidR="00524DB0">
        <w:t>es</w:t>
      </w:r>
      <w:r w:rsidR="00D12A19">
        <w:t xml:space="preserve"> (GHG</w:t>
      </w:r>
      <w:r w:rsidR="00524DB0">
        <w:t>s</w:t>
      </w:r>
      <w:r w:rsidR="00D12A19">
        <w:t>) and criteria air pollutants</w:t>
      </w:r>
      <w:r w:rsidR="00D6002D">
        <w:t xml:space="preserve">, based on the </w:t>
      </w:r>
      <w:r w:rsidR="00680432">
        <w:t xml:space="preserve">definition provided in </w:t>
      </w:r>
      <w:r w:rsidR="00D503D8">
        <w:t xml:space="preserve">the </w:t>
      </w:r>
      <w:hyperlink r:id="rId2" w:history="1">
        <w:r w:rsidR="00680432" w:rsidRPr="006E2C5D">
          <w:rPr>
            <w:rStyle w:val="Hyperlink"/>
            <w:rFonts w:cs="Arial"/>
          </w:rPr>
          <w:t>California Energy Commiss</w:t>
        </w:r>
        <w:r w:rsidR="00680432" w:rsidRPr="006E2C5D">
          <w:rPr>
            <w:rStyle w:val="Hyperlink"/>
            <w:rFonts w:cs="Arial"/>
          </w:rPr>
          <w:t>i</w:t>
        </w:r>
        <w:r w:rsidR="00680432" w:rsidRPr="006E2C5D">
          <w:rPr>
            <w:rStyle w:val="Hyperlink"/>
            <w:rFonts w:cs="Arial"/>
          </w:rPr>
          <w:t>on’s</w:t>
        </w:r>
        <w:r w:rsidR="00D6002D" w:rsidRPr="006E2C5D">
          <w:rPr>
            <w:rStyle w:val="Hyperlink"/>
            <w:rFonts w:cs="Arial"/>
          </w:rPr>
          <w:t xml:space="preserve"> Energy Glossary</w:t>
        </w:r>
      </w:hyperlink>
      <w:r w:rsidR="006E2C5D">
        <w:t>.</w:t>
      </w:r>
    </w:p>
  </w:footnote>
  <w:footnote w:id="7">
    <w:p w14:paraId="1C5E0493" w14:textId="55325AD8" w:rsidR="00880236" w:rsidRDefault="00880236">
      <w:pPr>
        <w:pStyle w:val="FootnoteText"/>
      </w:pPr>
      <w:r>
        <w:rPr>
          <w:rStyle w:val="FootnoteReference"/>
        </w:rPr>
        <w:footnoteRef/>
      </w:r>
      <w:r>
        <w:t xml:space="preserve"> </w:t>
      </w:r>
      <w:r w:rsidR="000030EF">
        <w:t>G</w:t>
      </w:r>
      <w:r w:rsidR="00DD31B4">
        <w:t>reen hydrogen</w:t>
      </w:r>
      <w:r w:rsidR="000030EF">
        <w:t xml:space="preserve"> is </w:t>
      </w:r>
      <w:r w:rsidR="002D7185">
        <w:t xml:space="preserve">a </w:t>
      </w:r>
      <w:r w:rsidR="00DB13AA">
        <w:t>hydrogen</w:t>
      </w:r>
      <w:r w:rsidR="00DD31B4">
        <w:t xml:space="preserve"> fuel </w:t>
      </w:r>
      <w:r w:rsidR="00DB13AA">
        <w:t xml:space="preserve">that complies </w:t>
      </w:r>
      <w:r w:rsidR="00DD31B4">
        <w:t xml:space="preserve">with </w:t>
      </w:r>
      <w:r>
        <w:t>Tier 1 requirements described in</w:t>
      </w:r>
      <w:r w:rsidR="000C1426">
        <w:t xml:space="preserve"> the U.S. Department of the</w:t>
      </w:r>
      <w:r>
        <w:t xml:space="preserve"> Treasury</w:t>
      </w:r>
      <w:r w:rsidR="00E6312B">
        <w:t>,</w:t>
      </w:r>
      <w:r>
        <w:t xml:space="preserve"> </w:t>
      </w:r>
      <w:r w:rsidR="00E6312B">
        <w:t xml:space="preserve">Section </w:t>
      </w:r>
      <w:r>
        <w:t>45V Regulation</w:t>
      </w:r>
      <w:r w:rsidR="000030EF">
        <w:t>.</w:t>
      </w:r>
    </w:p>
  </w:footnote>
  <w:footnote w:id="8">
    <w:p w14:paraId="10384D0E" w14:textId="61C271AB" w:rsidR="00674AE1" w:rsidRDefault="00674AE1" w:rsidP="00674AE1">
      <w:pPr>
        <w:pStyle w:val="FootnoteText"/>
      </w:pPr>
      <w:r>
        <w:rPr>
          <w:rStyle w:val="FootnoteReference"/>
        </w:rPr>
        <w:footnoteRef/>
      </w:r>
      <w:r>
        <w:t xml:space="preserve"> “Microgrid” is defined in </w:t>
      </w:r>
      <w:hyperlink r:id="rId3" w:history="1">
        <w:r w:rsidRPr="005E10F4">
          <w:rPr>
            <w:rStyle w:val="Hyperlink"/>
            <w:rFonts w:cs="Arial"/>
          </w:rPr>
          <w:t>Public Utilities Code § 8370(d)</w:t>
        </w:r>
      </w:hyperlink>
      <w:r w:rsidR="005E10F4">
        <w:t>.</w:t>
      </w:r>
      <w:r>
        <w:t xml:space="preserve"> </w:t>
      </w:r>
    </w:p>
  </w:footnote>
  <w:footnote w:id="9">
    <w:p w14:paraId="5AF0D31F" w14:textId="77777777" w:rsidR="00674AE1" w:rsidRPr="00693CE4" w:rsidRDefault="00674AE1" w:rsidP="00674AE1">
      <w:pPr>
        <w:rPr>
          <w:sz w:val="20"/>
          <w:szCs w:val="16"/>
        </w:rPr>
      </w:pPr>
      <w:r>
        <w:rPr>
          <w:rStyle w:val="FootnoteReference"/>
        </w:rPr>
        <w:footnoteRef/>
      </w:r>
      <w:r>
        <w:t xml:space="preserve"> </w:t>
      </w:r>
      <w:r w:rsidRPr="00693CE4">
        <w:rPr>
          <w:sz w:val="20"/>
          <w:szCs w:val="16"/>
        </w:rPr>
        <w:t>If a portion of the installed project capacity is entirely reserved to back up a site during</w:t>
      </w:r>
      <w:r>
        <w:rPr>
          <w:sz w:val="20"/>
          <w:szCs w:val="16"/>
        </w:rPr>
        <w:t xml:space="preserve"> a</w:t>
      </w:r>
      <w:r w:rsidRPr="00693CE4">
        <w:rPr>
          <w:sz w:val="20"/>
          <w:szCs w:val="16"/>
        </w:rPr>
        <w:t xml:space="preserve"> grid outage, that portion of the installed project capacity should not be included in the nomina</w:t>
      </w:r>
      <w:r>
        <w:rPr>
          <w:sz w:val="20"/>
          <w:szCs w:val="16"/>
        </w:rPr>
        <w:t>ted</w:t>
      </w:r>
      <w:r w:rsidRPr="00693CE4">
        <w:rPr>
          <w:sz w:val="20"/>
          <w:szCs w:val="16"/>
        </w:rPr>
        <w:t xml:space="preserve"> capacity.</w:t>
      </w:r>
    </w:p>
    <w:p w14:paraId="63E03F93" w14:textId="77777777" w:rsidR="00674AE1" w:rsidRDefault="00674AE1" w:rsidP="00674AE1">
      <w:pPr>
        <w:pStyle w:val="FootnoteText"/>
      </w:pPr>
    </w:p>
  </w:footnote>
  <w:footnote w:id="10">
    <w:p w14:paraId="2CF3D926" w14:textId="77777777" w:rsidR="00674AE1" w:rsidRDefault="00674AE1" w:rsidP="00674AE1">
      <w:pPr>
        <w:pStyle w:val="FootnoteText"/>
      </w:pPr>
      <w:r>
        <w:rPr>
          <w:rStyle w:val="FootnoteReference"/>
        </w:rPr>
        <w:footnoteRef/>
      </w:r>
      <w:r>
        <w:t xml:space="preserve"> Storage connected under Rule 21 but without additional customer load at the site (for example, in a community solar and storage installation) is considered BTM for the purpose of this solicitation.</w:t>
      </w:r>
    </w:p>
  </w:footnote>
  <w:footnote w:id="11">
    <w:p w14:paraId="6B377E0F" w14:textId="77777777" w:rsidR="00F55B74" w:rsidRPr="00EA3EEC" w:rsidRDefault="00F55B74" w:rsidP="00F55B74">
      <w:pPr>
        <w:pStyle w:val="NormalWeb"/>
      </w:pPr>
      <w:r w:rsidRPr="00B94435">
        <w:rPr>
          <w:rStyle w:val="FootnoteReference"/>
        </w:rPr>
        <w:footnoteRef/>
      </w:r>
      <w:r w:rsidRPr="00EA3EEC">
        <w:t xml:space="preserve"> </w:t>
      </w:r>
      <w:r w:rsidRPr="00282B8B">
        <w:rPr>
          <w:sz w:val="20"/>
        </w:rPr>
        <w:t>The distribution utilities and corresponding aggregate pricing node IDs are Pacific Gas and Electric (“DLAP_PGAE-APND”), Southern California Edison (“DLAP_SCE-APND”), San Diego Gas &amp; Electric (“DLAP_SDGE-APND”), and the POUs of Anaheim, Azusa, Banning, Pasadena, Riverside, and Vernon (SP15, “TH_SP15_GEN-APND”).</w:t>
      </w:r>
    </w:p>
  </w:footnote>
  <w:footnote w:id="12">
    <w:p w14:paraId="507F8336" w14:textId="065EF872" w:rsidR="00FF2558" w:rsidRDefault="00FF2558">
      <w:pPr>
        <w:pStyle w:val="FootnoteText"/>
      </w:pPr>
      <w:r>
        <w:rPr>
          <w:rStyle w:val="FootnoteReference"/>
        </w:rPr>
        <w:footnoteRef/>
      </w:r>
      <w:r>
        <w:t xml:space="preserve"> </w:t>
      </w:r>
      <w:r w:rsidR="00AA3CAB">
        <w:t>See Section II.B.5.b “Program Events” for guidance for projects outside the California ISO BA.</w:t>
      </w:r>
    </w:p>
  </w:footnote>
  <w:footnote w:id="13">
    <w:p w14:paraId="291E8082" w14:textId="79994147" w:rsidR="00BA7564" w:rsidRDefault="00BA7564">
      <w:pPr>
        <w:pStyle w:val="FootnoteText"/>
      </w:pPr>
      <w:r>
        <w:rPr>
          <w:rStyle w:val="FootnoteReference"/>
        </w:rPr>
        <w:footnoteRef/>
      </w:r>
      <w:r>
        <w:t xml:space="preserve"> </w:t>
      </w:r>
      <w:r w:rsidRPr="002667F9">
        <w:rPr>
          <w:color w:val="000000" w:themeColor="text1"/>
        </w:rPr>
        <w:t xml:space="preserve">Rule 21 is a tariff that describes the interconnection, operating, and metering requirements for generation facilities to be connected to a utility’s distribution system. </w:t>
      </w:r>
      <w:hyperlink r:id="rId4" w:history="1">
        <w:r w:rsidRPr="005E10F4">
          <w:rPr>
            <w:rStyle w:val="Hyperlink"/>
            <w:rFonts w:cs="Arial"/>
          </w:rPr>
          <w:t>California Public Utilities Commission (CPUC) Electric Rul</w:t>
        </w:r>
        <w:r w:rsidRPr="005E10F4">
          <w:rPr>
            <w:rStyle w:val="Hyperlink"/>
            <w:rFonts w:cs="Arial"/>
          </w:rPr>
          <w:t>e</w:t>
        </w:r>
        <w:r w:rsidRPr="005E10F4">
          <w:rPr>
            <w:rStyle w:val="Hyperlink"/>
            <w:rFonts w:cs="Arial"/>
          </w:rPr>
          <w:t xml:space="preserve"> 21</w:t>
        </w:r>
      </w:hyperlink>
      <w:r>
        <w:rPr>
          <w:color w:val="000000" w:themeColor="text1"/>
        </w:rPr>
        <w:t xml:space="preserve">. </w:t>
      </w:r>
    </w:p>
  </w:footnote>
  <w:footnote w:id="14">
    <w:p w14:paraId="681ACF0C" w14:textId="3C53C20B" w:rsidR="00674AE1" w:rsidRPr="00917BD2" w:rsidRDefault="00674AE1" w:rsidP="00674AE1">
      <w:pPr>
        <w:pStyle w:val="FootnoteText"/>
        <w:rPr>
          <w:rFonts w:eastAsia="Tahoma"/>
        </w:rPr>
      </w:pPr>
      <w:r w:rsidRPr="00917BD2">
        <w:rPr>
          <w:rStyle w:val="FootnoteReference"/>
          <w:rFonts w:eastAsia="Tahoma"/>
        </w:rPr>
        <w:footnoteRef/>
      </w:r>
      <w:r w:rsidRPr="00917BD2">
        <w:rPr>
          <w:rFonts w:eastAsia="Tahoma"/>
        </w:rPr>
        <w:t xml:space="preserve"> CPUC Energy Division Staff. 2022. “</w:t>
      </w:r>
      <w:hyperlink r:id="rId5" w:history="1">
        <w:r w:rsidRPr="00E56F93">
          <w:rPr>
            <w:rStyle w:val="Hyperlink"/>
          </w:rPr>
          <w:t>Advanced Strategies for Demand Flexibility Management and Customer DER Compensation</w:t>
        </w:r>
      </w:hyperlink>
      <w:r w:rsidRPr="00917BD2">
        <w:rPr>
          <w:rFonts w:eastAsia="Tahoma"/>
        </w:rPr>
        <w:t xml:space="preserve">.” </w:t>
      </w:r>
    </w:p>
  </w:footnote>
  <w:footnote w:id="15">
    <w:p w14:paraId="6785E961" w14:textId="6C14C1EC" w:rsidR="00674AE1" w:rsidRPr="00912729" w:rsidRDefault="00674AE1" w:rsidP="00674AE1">
      <w:pPr>
        <w:pStyle w:val="FootnoteText"/>
      </w:pPr>
      <w:r w:rsidRPr="00912729">
        <w:rPr>
          <w:rStyle w:val="FootnoteReference"/>
          <w:rFonts w:eastAsia="Tahoma"/>
        </w:rPr>
        <w:footnoteRef/>
      </w:r>
      <w:r w:rsidRPr="00912729">
        <w:t xml:space="preserve"> </w:t>
      </w:r>
      <w:r w:rsidR="008532DE">
        <w:t>For more</w:t>
      </w:r>
      <w:r w:rsidRPr="00912729">
        <w:t xml:space="preserve"> information on counterfactual baseline</w:t>
      </w:r>
      <w:r w:rsidR="008532DE">
        <w:t xml:space="preserve">, </w:t>
      </w:r>
      <w:r w:rsidR="001B7BA1">
        <w:t>see</w:t>
      </w:r>
      <w:r w:rsidR="008532DE">
        <w:t xml:space="preserve"> the “</w:t>
      </w:r>
      <w:hyperlink r:id="rId6" w:history="1">
        <w:r w:rsidR="008532DE" w:rsidRPr="001B7BA1">
          <w:rPr>
            <w:rStyle w:val="Hyperlink"/>
            <w:rFonts w:cs="Arial"/>
          </w:rPr>
          <w:t xml:space="preserve">California </w:t>
        </w:r>
        <w:r w:rsidR="008532DE" w:rsidRPr="001B7BA1">
          <w:rPr>
            <w:rStyle w:val="Hyperlink"/>
            <w:rFonts w:cs="Arial"/>
          </w:rPr>
          <w:t>I</w:t>
        </w:r>
        <w:r w:rsidR="008532DE" w:rsidRPr="001B7BA1">
          <w:rPr>
            <w:rStyle w:val="Hyperlink"/>
            <w:rFonts w:cs="Arial"/>
          </w:rPr>
          <w:t>SO Baseline Accuracy Work Group Proposal report</w:t>
        </w:r>
      </w:hyperlink>
      <w:r w:rsidRPr="00912729">
        <w:t xml:space="preserve">. </w:t>
      </w:r>
    </w:p>
  </w:footnote>
  <w:footnote w:id="16">
    <w:p w14:paraId="03D7628E" w14:textId="7B8516CD" w:rsidR="00880F6E" w:rsidRDefault="00880F6E" w:rsidP="00880F6E">
      <w:pPr>
        <w:pStyle w:val="FootnoteText"/>
      </w:pPr>
      <w:r>
        <w:rPr>
          <w:rStyle w:val="FootnoteReference"/>
        </w:rPr>
        <w:footnoteRef/>
      </w:r>
      <w:r>
        <w:t xml:space="preserve"> </w:t>
      </w:r>
      <w:hyperlink r:id="rId7" w:history="1">
        <w:r w:rsidR="00D268BA" w:rsidRPr="00D152E2">
          <w:rPr>
            <w:rStyle w:val="Hyperlink"/>
            <w:rFonts w:cs="Arial"/>
          </w:rPr>
          <w:t>Senate Bill 867</w:t>
        </w:r>
        <w:r w:rsidRPr="00D152E2">
          <w:rPr>
            <w:rStyle w:val="Hyperlink"/>
            <w:rFonts w:cs="Arial"/>
          </w:rPr>
          <w:t xml:space="preserve"> (Allen, Chapter 83, Statutes of 2024), Public Resources Code section 90050</w:t>
        </w:r>
      </w:hyperlink>
      <w:r>
        <w:t>.</w:t>
      </w:r>
    </w:p>
  </w:footnote>
  <w:footnote w:id="17">
    <w:p w14:paraId="201B4ED4" w14:textId="52A7FBC2" w:rsidR="00C725C0" w:rsidRDefault="00C725C0">
      <w:pPr>
        <w:pStyle w:val="FootnoteText"/>
      </w:pPr>
      <w:r>
        <w:rPr>
          <w:rStyle w:val="FootnoteReference"/>
        </w:rPr>
        <w:footnoteRef/>
      </w:r>
      <w:r>
        <w:t xml:space="preserve"> </w:t>
      </w:r>
      <w:r w:rsidR="007854BB">
        <w:t xml:space="preserve">See </w:t>
      </w:r>
      <w:r w:rsidR="007854BB">
        <w:rPr>
          <w:rFonts w:eastAsia="Arial"/>
        </w:rPr>
        <w:t>“</w:t>
      </w:r>
      <w:hyperlink r:id="rId8" w:history="1">
        <w:r w:rsidR="007854BB" w:rsidRPr="00D152E2">
          <w:rPr>
            <w:rStyle w:val="Hyperlink"/>
            <w:rFonts w:eastAsia="Arial" w:cs="Arial"/>
          </w:rPr>
          <w:t>Meaningful and Direct Benefits Assessment: 2024 Climate Bond</w:t>
        </w:r>
      </w:hyperlink>
      <w:r w:rsidR="007854BB">
        <w:rPr>
          <w:rFonts w:eastAsia="Arial"/>
        </w:rPr>
        <w:t>” published by the California Natural Resources Agency</w:t>
      </w:r>
      <w:r w:rsidR="00D152E2">
        <w:rPr>
          <w:rFonts w:eastAsia="Arial"/>
        </w:rPr>
        <w:t>.</w:t>
      </w:r>
      <w:r w:rsidR="007854BB">
        <w:rPr>
          <w:rFonts w:eastAsia="Arial"/>
        </w:rPr>
        <w:t xml:space="preserve"> </w:t>
      </w:r>
    </w:p>
  </w:footnote>
  <w:footnote w:id="18">
    <w:p w14:paraId="6A9F4F69" w14:textId="39024B49" w:rsidR="00F544B6" w:rsidRDefault="00F544B6">
      <w:pPr>
        <w:pStyle w:val="FootnoteText"/>
      </w:pPr>
      <w:r>
        <w:rPr>
          <w:rStyle w:val="FootnoteReference"/>
        </w:rPr>
        <w:footnoteRef/>
      </w:r>
      <w:r>
        <w:t xml:space="preserve"> As defined by the applicable federal Funding Opportunity Announcement (FOA).</w:t>
      </w:r>
    </w:p>
  </w:footnote>
  <w:footnote w:id="19">
    <w:p w14:paraId="06BD154E" w14:textId="3CD7EEE2" w:rsidR="00674AE1" w:rsidRDefault="00674AE1" w:rsidP="00674AE1">
      <w:pPr>
        <w:pStyle w:val="FootnoteText"/>
      </w:pPr>
      <w:r>
        <w:rPr>
          <w:rStyle w:val="FootnoteReference"/>
        </w:rPr>
        <w:footnoteRef/>
      </w:r>
      <w:r>
        <w:t xml:space="preserve"> </w:t>
      </w:r>
      <w:hyperlink r:id="rId9" w:history="1">
        <w:r w:rsidRPr="00056DA8">
          <w:rPr>
            <w:rStyle w:val="Hyperlink"/>
            <w:rFonts w:cs="Arial"/>
          </w:rPr>
          <w:t xml:space="preserve">Senate Bill 105 </w:t>
        </w:r>
        <w:r w:rsidRPr="00056DA8">
          <w:rPr>
            <w:rStyle w:val="Hyperlink"/>
            <w:rFonts w:cs="Arial"/>
            <w:szCs w:val="22"/>
          </w:rPr>
          <w:t xml:space="preserve">(Wiener, Chapter 104, Statutes of 2025) </w:t>
        </w:r>
        <w:r w:rsidRPr="00056DA8">
          <w:rPr>
            <w:rStyle w:val="Hyperlink"/>
            <w:rFonts w:cs="Arial"/>
          </w:rPr>
          <w:t>Schedule 2390028 – Renewable Energy, Provision 1</w:t>
        </w:r>
      </w:hyperlink>
      <w:r>
        <w:t>.</w:t>
      </w:r>
    </w:p>
  </w:footnote>
  <w:footnote w:id="20">
    <w:p w14:paraId="1EE6FD65" w14:textId="47089866" w:rsidR="00674AE1" w:rsidRDefault="00674AE1" w:rsidP="00674AE1">
      <w:pPr>
        <w:pStyle w:val="FootnoteText"/>
      </w:pPr>
      <w:r>
        <w:rPr>
          <w:rStyle w:val="FootnoteReference"/>
        </w:rPr>
        <w:footnoteRef/>
      </w:r>
      <w:r>
        <w:t xml:space="preserve"> </w:t>
      </w:r>
      <w:hyperlink r:id="rId10" w:history="1">
        <w:r w:rsidRPr="00056DA8">
          <w:rPr>
            <w:rStyle w:val="Hyperlink"/>
            <w:rFonts w:cs="Arial"/>
          </w:rPr>
          <w:t>Senate Bill 867 (Allen, Chapter 83, Statutes of 2024), Public Resources Code section 90150</w:t>
        </w:r>
      </w:hyperlink>
      <w:r>
        <w:t>.</w:t>
      </w:r>
    </w:p>
  </w:footnote>
  <w:footnote w:id="21">
    <w:p w14:paraId="1E93DE0A" w14:textId="40922B99" w:rsidR="00674AE1" w:rsidRDefault="00674AE1" w:rsidP="00674AE1">
      <w:pPr>
        <w:pStyle w:val="FootnoteText"/>
      </w:pPr>
      <w:r>
        <w:rPr>
          <w:rStyle w:val="FootnoteReference"/>
        </w:rPr>
        <w:footnoteRef/>
      </w:r>
      <w:r>
        <w:t xml:space="preserve"> </w:t>
      </w:r>
      <w:hyperlink r:id="rId11" w:history="1">
        <w:r w:rsidRPr="00056DA8">
          <w:rPr>
            <w:rStyle w:val="Hyperlink"/>
            <w:rFonts w:cs="Arial"/>
          </w:rPr>
          <w:t>California Conservation Corps Grant Consultation Services</w:t>
        </w:r>
      </w:hyperlink>
      <w:r>
        <w:t>.</w:t>
      </w:r>
    </w:p>
  </w:footnote>
  <w:footnote w:id="22">
    <w:p w14:paraId="29B9F103" w14:textId="3BDF1FB0" w:rsidR="00674AE1" w:rsidRDefault="00674AE1" w:rsidP="00674AE1">
      <w:pPr>
        <w:pStyle w:val="FootnoteText"/>
      </w:pPr>
      <w:r>
        <w:rPr>
          <w:rStyle w:val="FootnoteReference"/>
        </w:rPr>
        <w:footnoteRef/>
      </w:r>
      <w:r>
        <w:t xml:space="preserve"> </w:t>
      </w:r>
      <w:hyperlink r:id="rId12" w:history="1">
        <w:r w:rsidR="00116BC8" w:rsidRPr="00116BC8">
          <w:rPr>
            <w:rStyle w:val="Hyperlink"/>
            <w:rFonts w:cs="Arial"/>
          </w:rPr>
          <w:t xml:space="preserve">Executive Department, State of California. </w:t>
        </w:r>
        <w:r w:rsidRPr="00116BC8">
          <w:rPr>
            <w:rStyle w:val="Hyperlink"/>
            <w:rFonts w:cs="Arial"/>
          </w:rPr>
          <w:t>Executive Order N-4-25</w:t>
        </w:r>
      </w:hyperlink>
      <w:r w:rsidR="00056DA8">
        <w:t>.</w:t>
      </w:r>
    </w:p>
  </w:footnote>
  <w:footnote w:id="23">
    <w:p w14:paraId="3FABA2FB" w14:textId="77777777" w:rsidR="00674AE1" w:rsidRDefault="00674AE1" w:rsidP="00674AE1">
      <w:pPr>
        <w:pStyle w:val="FootnoteText"/>
      </w:pPr>
      <w:r>
        <w:rPr>
          <w:rStyle w:val="FootnoteReference"/>
        </w:rPr>
        <w:footnoteRef/>
      </w:r>
      <w:r>
        <w:t xml:space="preserve"> If the project is located on tribal or federal land, also see Section II.C. “Environmental Review Requirements.”</w:t>
      </w:r>
    </w:p>
  </w:footnote>
  <w:footnote w:id="24">
    <w:p w14:paraId="369849D5" w14:textId="24ABA205" w:rsidR="00674AE1" w:rsidRDefault="00674AE1" w:rsidP="00674AE1">
      <w:pPr>
        <w:pStyle w:val="FootnoteText"/>
      </w:pPr>
      <w:r>
        <w:rPr>
          <w:rStyle w:val="FootnoteReference"/>
        </w:rPr>
        <w:footnoteRef/>
      </w:r>
      <w:r>
        <w:t xml:space="preserve"> The California Natural Resources Agency (CNRA) has developed </w:t>
      </w:r>
      <w:r w:rsidR="00EE7DA1">
        <w:t>a guidance document,</w:t>
      </w:r>
      <w:r>
        <w:t xml:space="preserve"> “</w:t>
      </w:r>
      <w:hyperlink r:id="rId13" w:history="1">
        <w:r w:rsidR="00EE7DA1" w:rsidRPr="00EE7DA1">
          <w:rPr>
            <w:rStyle w:val="Hyperlink"/>
            <w:rFonts w:cs="Arial"/>
          </w:rPr>
          <w:t>M</w:t>
        </w:r>
        <w:r w:rsidRPr="00EE7DA1">
          <w:rPr>
            <w:rStyle w:val="Hyperlink"/>
            <w:rFonts w:cs="Arial"/>
          </w:rPr>
          <w:t xml:space="preserve">eaningful and </w:t>
        </w:r>
        <w:r w:rsidR="00EE7DA1" w:rsidRPr="00EE7DA1">
          <w:rPr>
            <w:rStyle w:val="Hyperlink"/>
            <w:rFonts w:cs="Arial"/>
          </w:rPr>
          <w:t>D</w:t>
        </w:r>
        <w:r w:rsidRPr="00EE7DA1">
          <w:rPr>
            <w:rStyle w:val="Hyperlink"/>
            <w:rFonts w:cs="Arial"/>
          </w:rPr>
          <w:t xml:space="preserve">irect </w:t>
        </w:r>
        <w:r w:rsidR="00EE7DA1" w:rsidRPr="00EE7DA1">
          <w:rPr>
            <w:rStyle w:val="Hyperlink"/>
            <w:rFonts w:cs="Arial"/>
          </w:rPr>
          <w:t>Assessments</w:t>
        </w:r>
      </w:hyperlink>
      <w:r w:rsidR="00EE7DA1">
        <w:t>,</w:t>
      </w:r>
      <w:r>
        <w:t>” that Applicants are encouraged to review</w:t>
      </w:r>
      <w:r w:rsidR="00834456">
        <w:t xml:space="preserve">. </w:t>
      </w:r>
    </w:p>
  </w:footnote>
  <w:footnote w:id="25">
    <w:p w14:paraId="506D3C00" w14:textId="568132B4" w:rsidR="006959CC" w:rsidRDefault="006959CC">
      <w:pPr>
        <w:pStyle w:val="FootnoteText"/>
      </w:pPr>
      <w:r>
        <w:rPr>
          <w:rStyle w:val="FootnoteReference"/>
        </w:rPr>
        <w:footnoteRef/>
      </w:r>
      <w:r>
        <w:t xml:space="preserve"> </w:t>
      </w:r>
      <w:r w:rsidR="009930C8">
        <w:t xml:space="preserve">As defined by the applicable </w:t>
      </w:r>
      <w:r w:rsidR="00536A55">
        <w:t xml:space="preserve">federal </w:t>
      </w:r>
      <w:r w:rsidR="009930C8">
        <w:t>F</w:t>
      </w:r>
      <w:r w:rsidR="00536A55">
        <w:t>unding Opportunity Announcement (FOA).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00674AE1" w14:paraId="32B71B2C" w14:textId="77777777">
      <w:trPr>
        <w:trHeight w:val="300"/>
      </w:trPr>
      <w:tc>
        <w:tcPr>
          <w:tcW w:w="3120" w:type="dxa"/>
        </w:tcPr>
        <w:p w14:paraId="0B553145" w14:textId="77777777" w:rsidR="00674AE1" w:rsidRDefault="00674AE1">
          <w:pPr>
            <w:pStyle w:val="Header"/>
            <w:ind w:left="-115"/>
          </w:pPr>
        </w:p>
      </w:tc>
      <w:tc>
        <w:tcPr>
          <w:tcW w:w="3120" w:type="dxa"/>
        </w:tcPr>
        <w:p w14:paraId="5E4FE314" w14:textId="77777777" w:rsidR="00674AE1" w:rsidRDefault="00674AE1">
          <w:pPr>
            <w:pStyle w:val="Header"/>
            <w:jc w:val="center"/>
          </w:pPr>
        </w:p>
      </w:tc>
      <w:tc>
        <w:tcPr>
          <w:tcW w:w="3120" w:type="dxa"/>
        </w:tcPr>
        <w:p w14:paraId="39C76D41" w14:textId="77777777" w:rsidR="00674AE1" w:rsidRDefault="00674AE1">
          <w:pPr>
            <w:pStyle w:val="Header"/>
            <w:ind w:right="-115"/>
            <w:jc w:val="right"/>
          </w:pPr>
        </w:p>
      </w:tc>
    </w:tr>
  </w:tbl>
  <w:p w14:paraId="359A488B" w14:textId="77777777" w:rsidR="00674AE1" w:rsidRDefault="00674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064D" w14:textId="77777777" w:rsidR="00674AE1" w:rsidRDefault="00674AE1"/>
  <w:p w14:paraId="40AD88AC" w14:textId="77777777" w:rsidR="00674AE1" w:rsidRDefault="00674AE1"/>
  <w:p w14:paraId="5C60FA03" w14:textId="77777777" w:rsidR="00674AE1" w:rsidRDefault="00674A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EADA" w14:textId="77777777" w:rsidR="00674AE1" w:rsidRPr="00970719" w:rsidRDefault="00674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77199"/>
    <w:multiLevelType w:val="hybridMultilevel"/>
    <w:tmpl w:val="91144400"/>
    <w:lvl w:ilvl="0" w:tplc="46FA7B96">
      <w:start w:val="1"/>
      <w:numFmt w:val="bullet"/>
      <w:lvlText w:val=""/>
      <w:lvlJc w:val="left"/>
      <w:pPr>
        <w:ind w:left="720" w:hanging="360"/>
      </w:pPr>
      <w:rPr>
        <w:rFonts w:ascii="Symbol" w:hAnsi="Symbol"/>
      </w:rPr>
    </w:lvl>
    <w:lvl w:ilvl="1" w:tplc="A702A224">
      <w:start w:val="1"/>
      <w:numFmt w:val="bullet"/>
      <w:lvlText w:val=""/>
      <w:lvlJc w:val="left"/>
      <w:pPr>
        <w:ind w:left="720" w:hanging="360"/>
      </w:pPr>
      <w:rPr>
        <w:rFonts w:ascii="Symbol" w:hAnsi="Symbol"/>
      </w:rPr>
    </w:lvl>
    <w:lvl w:ilvl="2" w:tplc="EBF0F1C8">
      <w:start w:val="1"/>
      <w:numFmt w:val="bullet"/>
      <w:lvlText w:val=""/>
      <w:lvlJc w:val="left"/>
      <w:pPr>
        <w:ind w:left="720" w:hanging="360"/>
      </w:pPr>
      <w:rPr>
        <w:rFonts w:ascii="Symbol" w:hAnsi="Symbol"/>
      </w:rPr>
    </w:lvl>
    <w:lvl w:ilvl="3" w:tplc="10226FC2">
      <w:start w:val="1"/>
      <w:numFmt w:val="bullet"/>
      <w:lvlText w:val=""/>
      <w:lvlJc w:val="left"/>
      <w:pPr>
        <w:ind w:left="720" w:hanging="360"/>
      </w:pPr>
      <w:rPr>
        <w:rFonts w:ascii="Symbol" w:hAnsi="Symbol"/>
      </w:rPr>
    </w:lvl>
    <w:lvl w:ilvl="4" w:tplc="FE20CB1C">
      <w:start w:val="1"/>
      <w:numFmt w:val="bullet"/>
      <w:lvlText w:val=""/>
      <w:lvlJc w:val="left"/>
      <w:pPr>
        <w:ind w:left="720" w:hanging="360"/>
      </w:pPr>
      <w:rPr>
        <w:rFonts w:ascii="Symbol" w:hAnsi="Symbol"/>
      </w:rPr>
    </w:lvl>
    <w:lvl w:ilvl="5" w:tplc="8D1A8ECA">
      <w:start w:val="1"/>
      <w:numFmt w:val="bullet"/>
      <w:lvlText w:val=""/>
      <w:lvlJc w:val="left"/>
      <w:pPr>
        <w:ind w:left="720" w:hanging="360"/>
      </w:pPr>
      <w:rPr>
        <w:rFonts w:ascii="Symbol" w:hAnsi="Symbol"/>
      </w:rPr>
    </w:lvl>
    <w:lvl w:ilvl="6" w:tplc="45A07C48">
      <w:start w:val="1"/>
      <w:numFmt w:val="bullet"/>
      <w:lvlText w:val=""/>
      <w:lvlJc w:val="left"/>
      <w:pPr>
        <w:ind w:left="720" w:hanging="360"/>
      </w:pPr>
      <w:rPr>
        <w:rFonts w:ascii="Symbol" w:hAnsi="Symbol"/>
      </w:rPr>
    </w:lvl>
    <w:lvl w:ilvl="7" w:tplc="45263EAC">
      <w:start w:val="1"/>
      <w:numFmt w:val="bullet"/>
      <w:lvlText w:val=""/>
      <w:lvlJc w:val="left"/>
      <w:pPr>
        <w:ind w:left="720" w:hanging="360"/>
      </w:pPr>
      <w:rPr>
        <w:rFonts w:ascii="Symbol" w:hAnsi="Symbol"/>
      </w:rPr>
    </w:lvl>
    <w:lvl w:ilvl="8" w:tplc="C3727A04">
      <w:start w:val="1"/>
      <w:numFmt w:val="bullet"/>
      <w:lvlText w:val=""/>
      <w:lvlJc w:val="left"/>
      <w:pPr>
        <w:ind w:left="720" w:hanging="360"/>
      </w:pPr>
      <w:rPr>
        <w:rFonts w:ascii="Symbol" w:hAnsi="Symbol"/>
      </w:rPr>
    </w:lvl>
  </w:abstractNum>
  <w:abstractNum w:abstractNumId="1" w15:restartNumberingAfterBreak="0">
    <w:nsid w:val="036152C8"/>
    <w:multiLevelType w:val="hybridMultilevel"/>
    <w:tmpl w:val="1D303F5E"/>
    <w:lvl w:ilvl="0" w:tplc="0B46DD90">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C6E01"/>
    <w:multiLevelType w:val="hybridMultilevel"/>
    <w:tmpl w:val="E554601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4E60B7B"/>
    <w:multiLevelType w:val="hybridMultilevel"/>
    <w:tmpl w:val="6360EB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351364"/>
    <w:multiLevelType w:val="hybridMultilevel"/>
    <w:tmpl w:val="B942BFA6"/>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D337FF6"/>
    <w:multiLevelType w:val="multilevel"/>
    <w:tmpl w:val="A92A24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DC86BE6"/>
    <w:multiLevelType w:val="multilevel"/>
    <w:tmpl w:val="6C7C29D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0E917F6A"/>
    <w:multiLevelType w:val="hybridMultilevel"/>
    <w:tmpl w:val="DA3607B4"/>
    <w:lvl w:ilvl="0" w:tplc="F3500CEA">
      <w:start w:val="1"/>
      <w:numFmt w:val="decimal"/>
      <w:lvlText w:val="%1."/>
      <w:lvlJc w:val="left"/>
      <w:pPr>
        <w:ind w:left="720" w:hanging="360"/>
      </w:pPr>
      <w:rPr>
        <w:rFonts w:cs="Times New Roman"/>
        <w:b w:val="0"/>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EF17231"/>
    <w:multiLevelType w:val="hybridMultilevel"/>
    <w:tmpl w:val="5E788BCE"/>
    <w:lvl w:ilvl="0" w:tplc="DC2E64B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681B14"/>
    <w:multiLevelType w:val="hybridMultilevel"/>
    <w:tmpl w:val="4C9685F2"/>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C20492"/>
    <w:multiLevelType w:val="multilevel"/>
    <w:tmpl w:val="09D6B62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37E06E5"/>
    <w:multiLevelType w:val="hybridMultilevel"/>
    <w:tmpl w:val="1F2AED14"/>
    <w:lvl w:ilvl="0" w:tplc="DC4628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FB25E5"/>
    <w:multiLevelType w:val="multilevel"/>
    <w:tmpl w:val="19F2C0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70372B8"/>
    <w:multiLevelType w:val="hybridMultilevel"/>
    <w:tmpl w:val="240899D6"/>
    <w:lvl w:ilvl="0" w:tplc="36F81DD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EE74AB"/>
    <w:multiLevelType w:val="multilevel"/>
    <w:tmpl w:val="2084C58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1A254541"/>
    <w:multiLevelType w:val="hybridMultilevel"/>
    <w:tmpl w:val="1DDE175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6" w15:restartNumberingAfterBreak="0">
    <w:nsid w:val="1A5F5A52"/>
    <w:multiLevelType w:val="hybridMultilevel"/>
    <w:tmpl w:val="1F2AED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FF5FD2"/>
    <w:multiLevelType w:val="hybridMultilevel"/>
    <w:tmpl w:val="361C48F0"/>
    <w:lvl w:ilvl="0" w:tplc="3B8854FC">
      <w:start w:val="4"/>
      <w:numFmt w:val="lowerLetter"/>
      <w:pStyle w:val="Heading5"/>
      <w:lvlText w:val="%1."/>
      <w:lvlJc w:val="left"/>
      <w:pPr>
        <w:ind w:left="1800" w:hanging="360"/>
      </w:pPr>
      <w:rPr>
        <w:rFonts w:hint="default"/>
        <w:b w:val="0"/>
        <w:bCs/>
        <w:i w:val="0"/>
        <w:i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1B13696A"/>
    <w:multiLevelType w:val="multilevel"/>
    <w:tmpl w:val="F3AE029A"/>
    <w:lvl w:ilvl="0">
      <w:start w:val="1"/>
      <w:numFmt w:val="bullet"/>
      <w:lvlText w:val=""/>
      <w:lvlJc w:val="left"/>
      <w:pPr>
        <w:ind w:left="1080" w:hanging="360"/>
      </w:pPr>
      <w:rPr>
        <w:rFonts w:ascii="Symbol" w:hAnsi="Symbol" w:hint="default"/>
        <w:b w:val="0"/>
      </w:rPr>
    </w:lvl>
    <w:lvl w:ilvl="1">
      <w:start w:val="1"/>
      <w:numFmt w:val="lowerLetter"/>
      <w:lvlText w:val="%2."/>
      <w:lvlJc w:val="left"/>
      <w:pPr>
        <w:ind w:left="720" w:hanging="360"/>
      </w:p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1BC347B5"/>
    <w:multiLevelType w:val="hybridMultilevel"/>
    <w:tmpl w:val="175CA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E00697"/>
    <w:multiLevelType w:val="hybridMultilevel"/>
    <w:tmpl w:val="0524AE0A"/>
    <w:lvl w:ilvl="0" w:tplc="3DF66C3A">
      <w:start w:val="1"/>
      <w:numFmt w:val="bullet"/>
      <w:lvlText w:val=""/>
      <w:lvlJc w:val="left"/>
      <w:pPr>
        <w:ind w:left="720" w:hanging="360"/>
      </w:pPr>
      <w:rPr>
        <w:rFonts w:ascii="Symbol" w:hAnsi="Symbol"/>
      </w:rPr>
    </w:lvl>
    <w:lvl w:ilvl="1" w:tplc="7B98F836">
      <w:start w:val="1"/>
      <w:numFmt w:val="bullet"/>
      <w:lvlText w:val=""/>
      <w:lvlJc w:val="left"/>
      <w:pPr>
        <w:ind w:left="720" w:hanging="360"/>
      </w:pPr>
      <w:rPr>
        <w:rFonts w:ascii="Symbol" w:hAnsi="Symbol"/>
      </w:rPr>
    </w:lvl>
    <w:lvl w:ilvl="2" w:tplc="DFBCE5DA">
      <w:start w:val="1"/>
      <w:numFmt w:val="bullet"/>
      <w:lvlText w:val=""/>
      <w:lvlJc w:val="left"/>
      <w:pPr>
        <w:ind w:left="720" w:hanging="360"/>
      </w:pPr>
      <w:rPr>
        <w:rFonts w:ascii="Symbol" w:hAnsi="Symbol"/>
      </w:rPr>
    </w:lvl>
    <w:lvl w:ilvl="3" w:tplc="7C0EB4DE">
      <w:start w:val="1"/>
      <w:numFmt w:val="bullet"/>
      <w:lvlText w:val=""/>
      <w:lvlJc w:val="left"/>
      <w:pPr>
        <w:ind w:left="720" w:hanging="360"/>
      </w:pPr>
      <w:rPr>
        <w:rFonts w:ascii="Symbol" w:hAnsi="Symbol"/>
      </w:rPr>
    </w:lvl>
    <w:lvl w:ilvl="4" w:tplc="2F148A00">
      <w:start w:val="1"/>
      <w:numFmt w:val="bullet"/>
      <w:lvlText w:val=""/>
      <w:lvlJc w:val="left"/>
      <w:pPr>
        <w:ind w:left="720" w:hanging="360"/>
      </w:pPr>
      <w:rPr>
        <w:rFonts w:ascii="Symbol" w:hAnsi="Symbol"/>
      </w:rPr>
    </w:lvl>
    <w:lvl w:ilvl="5" w:tplc="9796B978">
      <w:start w:val="1"/>
      <w:numFmt w:val="bullet"/>
      <w:lvlText w:val=""/>
      <w:lvlJc w:val="left"/>
      <w:pPr>
        <w:ind w:left="720" w:hanging="360"/>
      </w:pPr>
      <w:rPr>
        <w:rFonts w:ascii="Symbol" w:hAnsi="Symbol"/>
      </w:rPr>
    </w:lvl>
    <w:lvl w:ilvl="6" w:tplc="C7F48ED2">
      <w:start w:val="1"/>
      <w:numFmt w:val="bullet"/>
      <w:lvlText w:val=""/>
      <w:lvlJc w:val="left"/>
      <w:pPr>
        <w:ind w:left="720" w:hanging="360"/>
      </w:pPr>
      <w:rPr>
        <w:rFonts w:ascii="Symbol" w:hAnsi="Symbol"/>
      </w:rPr>
    </w:lvl>
    <w:lvl w:ilvl="7" w:tplc="7E9232FC">
      <w:start w:val="1"/>
      <w:numFmt w:val="bullet"/>
      <w:lvlText w:val=""/>
      <w:lvlJc w:val="left"/>
      <w:pPr>
        <w:ind w:left="720" w:hanging="360"/>
      </w:pPr>
      <w:rPr>
        <w:rFonts w:ascii="Symbol" w:hAnsi="Symbol"/>
      </w:rPr>
    </w:lvl>
    <w:lvl w:ilvl="8" w:tplc="62861B64">
      <w:start w:val="1"/>
      <w:numFmt w:val="bullet"/>
      <w:lvlText w:val=""/>
      <w:lvlJc w:val="left"/>
      <w:pPr>
        <w:ind w:left="720" w:hanging="360"/>
      </w:pPr>
      <w:rPr>
        <w:rFonts w:ascii="Symbol" w:hAnsi="Symbol"/>
      </w:rPr>
    </w:lvl>
  </w:abstractNum>
  <w:abstractNum w:abstractNumId="21" w15:restartNumberingAfterBreak="0">
    <w:nsid w:val="1CBC0A1E"/>
    <w:multiLevelType w:val="hybridMultilevel"/>
    <w:tmpl w:val="AD30C002"/>
    <w:lvl w:ilvl="0" w:tplc="56D813B2">
      <w:start w:val="1"/>
      <w:numFmt w:val="bullet"/>
      <w:lvlText w:val="•"/>
      <w:lvlJc w:val="left"/>
      <w:pPr>
        <w:ind w:left="2880" w:hanging="360"/>
      </w:pPr>
      <w:rPr>
        <w:rFonts w:ascii="Arial" w:hAnsi="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1EBB2E96"/>
    <w:multiLevelType w:val="hybridMultilevel"/>
    <w:tmpl w:val="D0C0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BA6617"/>
    <w:multiLevelType w:val="hybridMultilevel"/>
    <w:tmpl w:val="DA3607B4"/>
    <w:lvl w:ilvl="0" w:tplc="FFFFFFFF">
      <w:start w:val="1"/>
      <w:numFmt w:val="decimal"/>
      <w:lvlText w:val="%1."/>
      <w:lvlJc w:val="left"/>
      <w:pPr>
        <w:ind w:left="720" w:hanging="360"/>
      </w:pPr>
      <w:rPr>
        <w:rFonts w:cs="Times New Roman"/>
        <w:b w:val="0"/>
        <w:i w:val="0"/>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4" w15:restartNumberingAfterBreak="0">
    <w:nsid w:val="20F03E9E"/>
    <w:multiLevelType w:val="hybridMultilevel"/>
    <w:tmpl w:val="D88AB000"/>
    <w:lvl w:ilvl="0" w:tplc="A13E4822">
      <w:start w:val="1"/>
      <w:numFmt w:val="bullet"/>
      <w:lvlText w:val=""/>
      <w:lvlJc w:val="left"/>
      <w:pPr>
        <w:ind w:left="720" w:hanging="360"/>
      </w:pPr>
      <w:rPr>
        <w:rFonts w:ascii="Symbol" w:hAnsi="Symbol"/>
      </w:rPr>
    </w:lvl>
    <w:lvl w:ilvl="1" w:tplc="A0881566">
      <w:start w:val="1"/>
      <w:numFmt w:val="bullet"/>
      <w:lvlText w:val=""/>
      <w:lvlJc w:val="left"/>
      <w:pPr>
        <w:ind w:left="720" w:hanging="360"/>
      </w:pPr>
      <w:rPr>
        <w:rFonts w:ascii="Symbol" w:hAnsi="Symbol"/>
      </w:rPr>
    </w:lvl>
    <w:lvl w:ilvl="2" w:tplc="5CC2D068">
      <w:start w:val="1"/>
      <w:numFmt w:val="bullet"/>
      <w:lvlText w:val=""/>
      <w:lvlJc w:val="left"/>
      <w:pPr>
        <w:ind w:left="720" w:hanging="360"/>
      </w:pPr>
      <w:rPr>
        <w:rFonts w:ascii="Symbol" w:hAnsi="Symbol"/>
      </w:rPr>
    </w:lvl>
    <w:lvl w:ilvl="3" w:tplc="DD9C588A">
      <w:start w:val="1"/>
      <w:numFmt w:val="bullet"/>
      <w:lvlText w:val=""/>
      <w:lvlJc w:val="left"/>
      <w:pPr>
        <w:ind w:left="720" w:hanging="360"/>
      </w:pPr>
      <w:rPr>
        <w:rFonts w:ascii="Symbol" w:hAnsi="Symbol"/>
      </w:rPr>
    </w:lvl>
    <w:lvl w:ilvl="4" w:tplc="154EAF40">
      <w:start w:val="1"/>
      <w:numFmt w:val="bullet"/>
      <w:lvlText w:val=""/>
      <w:lvlJc w:val="left"/>
      <w:pPr>
        <w:ind w:left="720" w:hanging="360"/>
      </w:pPr>
      <w:rPr>
        <w:rFonts w:ascii="Symbol" w:hAnsi="Symbol"/>
      </w:rPr>
    </w:lvl>
    <w:lvl w:ilvl="5" w:tplc="9F5E40F8">
      <w:start w:val="1"/>
      <w:numFmt w:val="bullet"/>
      <w:lvlText w:val=""/>
      <w:lvlJc w:val="left"/>
      <w:pPr>
        <w:ind w:left="720" w:hanging="360"/>
      </w:pPr>
      <w:rPr>
        <w:rFonts w:ascii="Symbol" w:hAnsi="Symbol"/>
      </w:rPr>
    </w:lvl>
    <w:lvl w:ilvl="6" w:tplc="E2A21DE6">
      <w:start w:val="1"/>
      <w:numFmt w:val="bullet"/>
      <w:lvlText w:val=""/>
      <w:lvlJc w:val="left"/>
      <w:pPr>
        <w:ind w:left="720" w:hanging="360"/>
      </w:pPr>
      <w:rPr>
        <w:rFonts w:ascii="Symbol" w:hAnsi="Symbol"/>
      </w:rPr>
    </w:lvl>
    <w:lvl w:ilvl="7" w:tplc="6D5A9024">
      <w:start w:val="1"/>
      <w:numFmt w:val="bullet"/>
      <w:lvlText w:val=""/>
      <w:lvlJc w:val="left"/>
      <w:pPr>
        <w:ind w:left="720" w:hanging="360"/>
      </w:pPr>
      <w:rPr>
        <w:rFonts w:ascii="Symbol" w:hAnsi="Symbol"/>
      </w:rPr>
    </w:lvl>
    <w:lvl w:ilvl="8" w:tplc="2EDCF400">
      <w:start w:val="1"/>
      <w:numFmt w:val="bullet"/>
      <w:lvlText w:val=""/>
      <w:lvlJc w:val="left"/>
      <w:pPr>
        <w:ind w:left="720" w:hanging="360"/>
      </w:pPr>
      <w:rPr>
        <w:rFonts w:ascii="Symbol" w:hAnsi="Symbol"/>
      </w:rPr>
    </w:lvl>
  </w:abstractNum>
  <w:abstractNum w:abstractNumId="25" w15:restartNumberingAfterBreak="0">
    <w:nsid w:val="25403CE7"/>
    <w:multiLevelType w:val="hybridMultilevel"/>
    <w:tmpl w:val="AD7AA418"/>
    <w:lvl w:ilvl="0" w:tplc="AAEA81C8">
      <w:start w:val="1"/>
      <w:numFmt w:val="lowerLetter"/>
      <w:lvlText w:val="%1."/>
      <w:lvlJc w:val="left"/>
      <w:pPr>
        <w:ind w:left="1800" w:hanging="360"/>
      </w:pPr>
      <w:rPr>
        <w:b w:val="0"/>
        <w:bCs/>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26C052D8"/>
    <w:multiLevelType w:val="hybridMultilevel"/>
    <w:tmpl w:val="338E361E"/>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28B034C2"/>
    <w:multiLevelType w:val="hybridMultilevel"/>
    <w:tmpl w:val="82CC3FCA"/>
    <w:lvl w:ilvl="0" w:tplc="AD7E670C">
      <w:start w:val="1"/>
      <w:numFmt w:val="bullet"/>
      <w:lvlText w:val=""/>
      <w:lvlJc w:val="left"/>
      <w:pPr>
        <w:ind w:left="720" w:hanging="360"/>
      </w:pPr>
      <w:rPr>
        <w:rFonts w:ascii="Symbol" w:hAnsi="Symbol"/>
      </w:rPr>
    </w:lvl>
    <w:lvl w:ilvl="1" w:tplc="9AA2B72C">
      <w:start w:val="1"/>
      <w:numFmt w:val="bullet"/>
      <w:lvlText w:val=""/>
      <w:lvlJc w:val="left"/>
      <w:pPr>
        <w:ind w:left="720" w:hanging="360"/>
      </w:pPr>
      <w:rPr>
        <w:rFonts w:ascii="Symbol" w:hAnsi="Symbol"/>
      </w:rPr>
    </w:lvl>
    <w:lvl w:ilvl="2" w:tplc="C84C99F6">
      <w:start w:val="1"/>
      <w:numFmt w:val="bullet"/>
      <w:lvlText w:val=""/>
      <w:lvlJc w:val="left"/>
      <w:pPr>
        <w:ind w:left="720" w:hanging="360"/>
      </w:pPr>
      <w:rPr>
        <w:rFonts w:ascii="Symbol" w:hAnsi="Symbol"/>
      </w:rPr>
    </w:lvl>
    <w:lvl w:ilvl="3" w:tplc="11A2DC1E">
      <w:start w:val="1"/>
      <w:numFmt w:val="bullet"/>
      <w:lvlText w:val=""/>
      <w:lvlJc w:val="left"/>
      <w:pPr>
        <w:ind w:left="720" w:hanging="360"/>
      </w:pPr>
      <w:rPr>
        <w:rFonts w:ascii="Symbol" w:hAnsi="Symbol"/>
      </w:rPr>
    </w:lvl>
    <w:lvl w:ilvl="4" w:tplc="26341BBE">
      <w:start w:val="1"/>
      <w:numFmt w:val="bullet"/>
      <w:lvlText w:val=""/>
      <w:lvlJc w:val="left"/>
      <w:pPr>
        <w:ind w:left="720" w:hanging="360"/>
      </w:pPr>
      <w:rPr>
        <w:rFonts w:ascii="Symbol" w:hAnsi="Symbol"/>
      </w:rPr>
    </w:lvl>
    <w:lvl w:ilvl="5" w:tplc="9480966A">
      <w:start w:val="1"/>
      <w:numFmt w:val="bullet"/>
      <w:lvlText w:val=""/>
      <w:lvlJc w:val="left"/>
      <w:pPr>
        <w:ind w:left="720" w:hanging="360"/>
      </w:pPr>
      <w:rPr>
        <w:rFonts w:ascii="Symbol" w:hAnsi="Symbol"/>
      </w:rPr>
    </w:lvl>
    <w:lvl w:ilvl="6" w:tplc="E49E2BF0">
      <w:start w:val="1"/>
      <w:numFmt w:val="bullet"/>
      <w:lvlText w:val=""/>
      <w:lvlJc w:val="left"/>
      <w:pPr>
        <w:ind w:left="720" w:hanging="360"/>
      </w:pPr>
      <w:rPr>
        <w:rFonts w:ascii="Symbol" w:hAnsi="Symbol"/>
      </w:rPr>
    </w:lvl>
    <w:lvl w:ilvl="7" w:tplc="0A1089CE">
      <w:start w:val="1"/>
      <w:numFmt w:val="bullet"/>
      <w:lvlText w:val=""/>
      <w:lvlJc w:val="left"/>
      <w:pPr>
        <w:ind w:left="720" w:hanging="360"/>
      </w:pPr>
      <w:rPr>
        <w:rFonts w:ascii="Symbol" w:hAnsi="Symbol"/>
      </w:rPr>
    </w:lvl>
    <w:lvl w:ilvl="8" w:tplc="23A26E5E">
      <w:start w:val="1"/>
      <w:numFmt w:val="bullet"/>
      <w:lvlText w:val=""/>
      <w:lvlJc w:val="left"/>
      <w:pPr>
        <w:ind w:left="720" w:hanging="360"/>
      </w:pPr>
      <w:rPr>
        <w:rFonts w:ascii="Symbol" w:hAnsi="Symbol"/>
      </w:rPr>
    </w:lvl>
  </w:abstractNum>
  <w:abstractNum w:abstractNumId="28" w15:restartNumberingAfterBreak="0">
    <w:nsid w:val="29D878BB"/>
    <w:multiLevelType w:val="hybridMultilevel"/>
    <w:tmpl w:val="5E788B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B633457"/>
    <w:multiLevelType w:val="multilevel"/>
    <w:tmpl w:val="475C169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2C6962C8"/>
    <w:multiLevelType w:val="hybridMultilevel"/>
    <w:tmpl w:val="A7AC1E92"/>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1" w15:restartNumberingAfterBreak="0">
    <w:nsid w:val="2D5831DB"/>
    <w:multiLevelType w:val="hybridMultilevel"/>
    <w:tmpl w:val="CA70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DE84CD3"/>
    <w:multiLevelType w:val="hybridMultilevel"/>
    <w:tmpl w:val="1ACC4688"/>
    <w:lvl w:ilvl="0" w:tplc="464AEBC4">
      <w:start w:val="1"/>
      <w:numFmt w:val="bullet"/>
      <w:lvlText w:val="•"/>
      <w:lvlJc w:val="left"/>
      <w:pPr>
        <w:tabs>
          <w:tab w:val="num" w:pos="1440"/>
        </w:tabs>
        <w:ind w:left="1440" w:hanging="360"/>
      </w:pPr>
      <w:rPr>
        <w:rFonts w:ascii="Arial" w:hAnsi="Arial" w:hint="default"/>
      </w:rPr>
    </w:lvl>
    <w:lvl w:ilvl="1" w:tplc="45CC15CE" w:tentative="1">
      <w:start w:val="1"/>
      <w:numFmt w:val="bullet"/>
      <w:lvlText w:val="•"/>
      <w:lvlJc w:val="left"/>
      <w:pPr>
        <w:tabs>
          <w:tab w:val="num" w:pos="2160"/>
        </w:tabs>
        <w:ind w:left="2160" w:hanging="360"/>
      </w:pPr>
      <w:rPr>
        <w:rFonts w:ascii="Arial" w:hAnsi="Arial" w:hint="default"/>
      </w:rPr>
    </w:lvl>
    <w:lvl w:ilvl="2" w:tplc="E7402658" w:tentative="1">
      <w:start w:val="1"/>
      <w:numFmt w:val="bullet"/>
      <w:lvlText w:val="•"/>
      <w:lvlJc w:val="left"/>
      <w:pPr>
        <w:tabs>
          <w:tab w:val="num" w:pos="2880"/>
        </w:tabs>
        <w:ind w:left="2880" w:hanging="360"/>
      </w:pPr>
      <w:rPr>
        <w:rFonts w:ascii="Arial" w:hAnsi="Arial" w:hint="default"/>
      </w:rPr>
    </w:lvl>
    <w:lvl w:ilvl="3" w:tplc="832A6896" w:tentative="1">
      <w:start w:val="1"/>
      <w:numFmt w:val="bullet"/>
      <w:lvlText w:val="•"/>
      <w:lvlJc w:val="left"/>
      <w:pPr>
        <w:tabs>
          <w:tab w:val="num" w:pos="3600"/>
        </w:tabs>
        <w:ind w:left="3600" w:hanging="360"/>
      </w:pPr>
      <w:rPr>
        <w:rFonts w:ascii="Arial" w:hAnsi="Arial" w:hint="default"/>
      </w:rPr>
    </w:lvl>
    <w:lvl w:ilvl="4" w:tplc="B860E86C" w:tentative="1">
      <w:start w:val="1"/>
      <w:numFmt w:val="bullet"/>
      <w:lvlText w:val="•"/>
      <w:lvlJc w:val="left"/>
      <w:pPr>
        <w:tabs>
          <w:tab w:val="num" w:pos="4320"/>
        </w:tabs>
        <w:ind w:left="4320" w:hanging="360"/>
      </w:pPr>
      <w:rPr>
        <w:rFonts w:ascii="Arial" w:hAnsi="Arial" w:hint="default"/>
      </w:rPr>
    </w:lvl>
    <w:lvl w:ilvl="5" w:tplc="2BEC515A" w:tentative="1">
      <w:start w:val="1"/>
      <w:numFmt w:val="bullet"/>
      <w:lvlText w:val="•"/>
      <w:lvlJc w:val="left"/>
      <w:pPr>
        <w:tabs>
          <w:tab w:val="num" w:pos="5040"/>
        </w:tabs>
        <w:ind w:left="5040" w:hanging="360"/>
      </w:pPr>
      <w:rPr>
        <w:rFonts w:ascii="Arial" w:hAnsi="Arial" w:hint="default"/>
      </w:rPr>
    </w:lvl>
    <w:lvl w:ilvl="6" w:tplc="7610C19A" w:tentative="1">
      <w:start w:val="1"/>
      <w:numFmt w:val="bullet"/>
      <w:lvlText w:val="•"/>
      <w:lvlJc w:val="left"/>
      <w:pPr>
        <w:tabs>
          <w:tab w:val="num" w:pos="5760"/>
        </w:tabs>
        <w:ind w:left="5760" w:hanging="360"/>
      </w:pPr>
      <w:rPr>
        <w:rFonts w:ascii="Arial" w:hAnsi="Arial" w:hint="default"/>
      </w:rPr>
    </w:lvl>
    <w:lvl w:ilvl="7" w:tplc="C1F0C3E4" w:tentative="1">
      <w:start w:val="1"/>
      <w:numFmt w:val="bullet"/>
      <w:lvlText w:val="•"/>
      <w:lvlJc w:val="left"/>
      <w:pPr>
        <w:tabs>
          <w:tab w:val="num" w:pos="6480"/>
        </w:tabs>
        <w:ind w:left="6480" w:hanging="360"/>
      </w:pPr>
      <w:rPr>
        <w:rFonts w:ascii="Arial" w:hAnsi="Arial" w:hint="default"/>
      </w:rPr>
    </w:lvl>
    <w:lvl w:ilvl="8" w:tplc="86643ED8" w:tentative="1">
      <w:start w:val="1"/>
      <w:numFmt w:val="bullet"/>
      <w:lvlText w:val="•"/>
      <w:lvlJc w:val="left"/>
      <w:pPr>
        <w:tabs>
          <w:tab w:val="num" w:pos="7200"/>
        </w:tabs>
        <w:ind w:left="7200" w:hanging="360"/>
      </w:pPr>
      <w:rPr>
        <w:rFonts w:ascii="Arial" w:hAnsi="Arial" w:hint="default"/>
      </w:rPr>
    </w:lvl>
  </w:abstractNum>
  <w:abstractNum w:abstractNumId="33" w15:restartNumberingAfterBreak="0">
    <w:nsid w:val="30F855AF"/>
    <w:multiLevelType w:val="multilevel"/>
    <w:tmpl w:val="436E1F88"/>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rPr>
        <w:b w:val="0"/>
        <w:bCs/>
      </w:r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32384CB0"/>
    <w:multiLevelType w:val="hybridMultilevel"/>
    <w:tmpl w:val="B26E97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3435B5C"/>
    <w:multiLevelType w:val="hybridMultilevel"/>
    <w:tmpl w:val="2B98C87E"/>
    <w:lvl w:ilvl="0" w:tplc="1F066C2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5C22FF"/>
    <w:multiLevelType w:val="multilevel"/>
    <w:tmpl w:val="A12A502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7" w15:restartNumberingAfterBreak="0">
    <w:nsid w:val="39FF2999"/>
    <w:multiLevelType w:val="hybridMultilevel"/>
    <w:tmpl w:val="19B829B8"/>
    <w:lvl w:ilvl="0" w:tplc="04090001">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7B24C5"/>
    <w:multiLevelType w:val="hybridMultilevel"/>
    <w:tmpl w:val="9738AC1A"/>
    <w:lvl w:ilvl="0" w:tplc="0409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3F49117B"/>
    <w:multiLevelType w:val="hybridMultilevel"/>
    <w:tmpl w:val="5E788B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8927A5"/>
    <w:multiLevelType w:val="hybridMultilevel"/>
    <w:tmpl w:val="EE40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131468C"/>
    <w:multiLevelType w:val="hybridMultilevel"/>
    <w:tmpl w:val="78385C94"/>
    <w:lvl w:ilvl="0" w:tplc="04090019">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866093A8">
      <w:start w:val="1"/>
      <w:numFmt w:val="lowerRoman"/>
      <w:lvlText w:val="%3."/>
      <w:lvlJc w:val="right"/>
      <w:pPr>
        <w:ind w:left="1350" w:hanging="180"/>
      </w:pPr>
    </w:lvl>
    <w:lvl w:ilvl="3" w:tplc="2EBC5A58">
      <w:start w:val="1"/>
      <w:numFmt w:val="decimal"/>
      <w:lvlText w:val="%4."/>
      <w:lvlJc w:val="left"/>
      <w:pPr>
        <w:ind w:left="2880" w:hanging="360"/>
      </w:pPr>
    </w:lvl>
    <w:lvl w:ilvl="4" w:tplc="0409001B">
      <w:start w:val="1"/>
      <w:numFmt w:val="lowerRoman"/>
      <w:lvlText w:val="%5."/>
      <w:lvlJc w:val="righ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4355DA8"/>
    <w:multiLevelType w:val="hybridMultilevel"/>
    <w:tmpl w:val="6BE0FD16"/>
    <w:lvl w:ilvl="0" w:tplc="04090003">
      <w:start w:val="1"/>
      <w:numFmt w:val="bullet"/>
      <w:lvlText w:val="o"/>
      <w:lvlJc w:val="left"/>
      <w:pPr>
        <w:ind w:left="4230" w:hanging="360"/>
      </w:pPr>
      <w:rPr>
        <w:rFonts w:ascii="Courier New" w:hAnsi="Courier New" w:cs="Courier New" w:hint="default"/>
        <w:b w:val="0"/>
      </w:rPr>
    </w:lvl>
    <w:lvl w:ilvl="1" w:tplc="04090003">
      <w:start w:val="1"/>
      <w:numFmt w:val="bullet"/>
      <w:lvlText w:val="o"/>
      <w:lvlJc w:val="left"/>
      <w:pPr>
        <w:ind w:left="4050" w:hanging="360"/>
      </w:pPr>
      <w:rPr>
        <w:rFonts w:ascii="Courier New" w:hAnsi="Courier New" w:cs="Courier New" w:hint="default"/>
      </w:rPr>
    </w:lvl>
    <w:lvl w:ilvl="2" w:tplc="04090005">
      <w:start w:val="1"/>
      <w:numFmt w:val="bullet"/>
      <w:lvlText w:val=""/>
      <w:lvlJc w:val="left"/>
      <w:pPr>
        <w:ind w:left="4770" w:hanging="360"/>
      </w:pPr>
      <w:rPr>
        <w:rFonts w:ascii="Wingdings" w:hAnsi="Wingdings" w:hint="default"/>
      </w:rPr>
    </w:lvl>
    <w:lvl w:ilvl="3" w:tplc="0409000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43" w15:restartNumberingAfterBreak="0">
    <w:nsid w:val="4464E657"/>
    <w:multiLevelType w:val="hybridMultilevel"/>
    <w:tmpl w:val="FFFFFFFF"/>
    <w:lvl w:ilvl="0" w:tplc="78BADA84">
      <w:start w:val="1"/>
      <w:numFmt w:val="upperLetter"/>
      <w:lvlText w:val="%1."/>
      <w:lvlJc w:val="left"/>
      <w:pPr>
        <w:ind w:left="720" w:hanging="360"/>
      </w:pPr>
    </w:lvl>
    <w:lvl w:ilvl="1" w:tplc="AC84E19A">
      <w:start w:val="1"/>
      <w:numFmt w:val="lowerLetter"/>
      <w:lvlText w:val="%2."/>
      <w:lvlJc w:val="left"/>
      <w:pPr>
        <w:ind w:left="1440" w:hanging="360"/>
      </w:pPr>
    </w:lvl>
    <w:lvl w:ilvl="2" w:tplc="9336E41C">
      <w:start w:val="1"/>
      <w:numFmt w:val="lowerRoman"/>
      <w:lvlText w:val="%3."/>
      <w:lvlJc w:val="right"/>
      <w:pPr>
        <w:ind w:left="2160" w:hanging="180"/>
      </w:pPr>
    </w:lvl>
    <w:lvl w:ilvl="3" w:tplc="B6461CC6">
      <w:start w:val="1"/>
      <w:numFmt w:val="decimal"/>
      <w:lvlText w:val="%4."/>
      <w:lvlJc w:val="left"/>
      <w:pPr>
        <w:ind w:left="2880" w:hanging="360"/>
      </w:pPr>
    </w:lvl>
    <w:lvl w:ilvl="4" w:tplc="2CF2915C">
      <w:start w:val="1"/>
      <w:numFmt w:val="lowerLetter"/>
      <w:lvlText w:val="%5."/>
      <w:lvlJc w:val="left"/>
      <w:pPr>
        <w:ind w:left="3600" w:hanging="360"/>
      </w:pPr>
    </w:lvl>
    <w:lvl w:ilvl="5" w:tplc="14CC3524">
      <w:start w:val="1"/>
      <w:numFmt w:val="lowerRoman"/>
      <w:lvlText w:val="%6."/>
      <w:lvlJc w:val="right"/>
      <w:pPr>
        <w:ind w:left="4320" w:hanging="180"/>
      </w:pPr>
    </w:lvl>
    <w:lvl w:ilvl="6" w:tplc="1276B42E">
      <w:start w:val="1"/>
      <w:numFmt w:val="decimal"/>
      <w:lvlText w:val="%7."/>
      <w:lvlJc w:val="left"/>
      <w:pPr>
        <w:ind w:left="5040" w:hanging="360"/>
      </w:pPr>
    </w:lvl>
    <w:lvl w:ilvl="7" w:tplc="EF3A196A">
      <w:start w:val="1"/>
      <w:numFmt w:val="lowerLetter"/>
      <w:lvlText w:val="%8."/>
      <w:lvlJc w:val="left"/>
      <w:pPr>
        <w:ind w:left="5760" w:hanging="360"/>
      </w:pPr>
    </w:lvl>
    <w:lvl w:ilvl="8" w:tplc="53DED31E">
      <w:start w:val="1"/>
      <w:numFmt w:val="lowerRoman"/>
      <w:lvlText w:val="%9."/>
      <w:lvlJc w:val="right"/>
      <w:pPr>
        <w:ind w:left="6480" w:hanging="180"/>
      </w:pPr>
    </w:lvl>
  </w:abstractNum>
  <w:abstractNum w:abstractNumId="44" w15:restartNumberingAfterBreak="0">
    <w:nsid w:val="46F44641"/>
    <w:multiLevelType w:val="multilevel"/>
    <w:tmpl w:val="E10E8E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5" w15:restartNumberingAfterBreak="0">
    <w:nsid w:val="477E7B1E"/>
    <w:multiLevelType w:val="hybridMultilevel"/>
    <w:tmpl w:val="F62C9F9C"/>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BB63F89"/>
    <w:multiLevelType w:val="multilevel"/>
    <w:tmpl w:val="C61E24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CCB3E3C"/>
    <w:multiLevelType w:val="multilevel"/>
    <w:tmpl w:val="A92A24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4E9E3696"/>
    <w:multiLevelType w:val="hybridMultilevel"/>
    <w:tmpl w:val="F856AAD4"/>
    <w:lvl w:ilvl="0" w:tplc="FFFFFFFF">
      <w:start w:val="1"/>
      <w:numFmt w:val="lowerLetter"/>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49" w15:restartNumberingAfterBreak="0">
    <w:nsid w:val="4EF600F5"/>
    <w:multiLevelType w:val="multilevel"/>
    <w:tmpl w:val="DEB8E1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0" w15:restartNumberingAfterBreak="0">
    <w:nsid w:val="507278F2"/>
    <w:multiLevelType w:val="hybridMultilevel"/>
    <w:tmpl w:val="1F2AED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0811A65"/>
    <w:multiLevelType w:val="hybridMultilevel"/>
    <w:tmpl w:val="90CA2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1AA3615"/>
    <w:multiLevelType w:val="multilevel"/>
    <w:tmpl w:val="219E33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34D7243"/>
    <w:multiLevelType w:val="hybridMultilevel"/>
    <w:tmpl w:val="AD7AA418"/>
    <w:lvl w:ilvl="0" w:tplc="FFFFFFFF">
      <w:start w:val="1"/>
      <w:numFmt w:val="lowerLetter"/>
      <w:lvlText w:val="%1."/>
      <w:lvlJc w:val="left"/>
      <w:pPr>
        <w:ind w:left="1800" w:hanging="360"/>
      </w:pPr>
      <w:rPr>
        <w:b w:val="0"/>
        <w:bCs/>
        <w:i w:val="0"/>
        <w:i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4" w15:restartNumberingAfterBreak="0">
    <w:nsid w:val="53750392"/>
    <w:multiLevelType w:val="hybridMultilevel"/>
    <w:tmpl w:val="BAE47440"/>
    <w:lvl w:ilvl="0" w:tplc="04090001">
      <w:start w:val="1"/>
      <w:numFmt w:val="bullet"/>
      <w:lvlText w:val=""/>
      <w:lvlJc w:val="left"/>
      <w:pPr>
        <w:ind w:left="3600" w:hanging="360"/>
      </w:pPr>
      <w:rPr>
        <w:rFonts w:ascii="Symbol" w:hAnsi="Symbol" w:hint="default"/>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55" w15:restartNumberingAfterBreak="0">
    <w:nsid w:val="53F06103"/>
    <w:multiLevelType w:val="hybridMultilevel"/>
    <w:tmpl w:val="D646C510"/>
    <w:lvl w:ilvl="0" w:tplc="2B606CB4">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43379E1"/>
    <w:multiLevelType w:val="hybridMultilevel"/>
    <w:tmpl w:val="DADCD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7" w15:restartNumberingAfterBreak="0">
    <w:nsid w:val="54CF4CC6"/>
    <w:multiLevelType w:val="hybridMultilevel"/>
    <w:tmpl w:val="1812F072"/>
    <w:lvl w:ilvl="0" w:tplc="C6D452B6">
      <w:start w:val="1"/>
      <w:numFmt w:val="bullet"/>
      <w:lvlText w:val=""/>
      <w:lvlJc w:val="left"/>
      <w:pPr>
        <w:ind w:left="720" w:hanging="360"/>
      </w:pPr>
      <w:rPr>
        <w:rFonts w:ascii="Symbol" w:hAnsi="Symbol"/>
      </w:rPr>
    </w:lvl>
    <w:lvl w:ilvl="1" w:tplc="8126FD3E">
      <w:start w:val="1"/>
      <w:numFmt w:val="bullet"/>
      <w:lvlText w:val=""/>
      <w:lvlJc w:val="left"/>
      <w:pPr>
        <w:ind w:left="720" w:hanging="360"/>
      </w:pPr>
      <w:rPr>
        <w:rFonts w:ascii="Symbol" w:hAnsi="Symbol"/>
      </w:rPr>
    </w:lvl>
    <w:lvl w:ilvl="2" w:tplc="F2C6225E">
      <w:start w:val="1"/>
      <w:numFmt w:val="bullet"/>
      <w:lvlText w:val=""/>
      <w:lvlJc w:val="left"/>
      <w:pPr>
        <w:ind w:left="720" w:hanging="360"/>
      </w:pPr>
      <w:rPr>
        <w:rFonts w:ascii="Symbol" w:hAnsi="Symbol"/>
      </w:rPr>
    </w:lvl>
    <w:lvl w:ilvl="3" w:tplc="B56EB03A">
      <w:start w:val="1"/>
      <w:numFmt w:val="bullet"/>
      <w:lvlText w:val=""/>
      <w:lvlJc w:val="left"/>
      <w:pPr>
        <w:ind w:left="720" w:hanging="360"/>
      </w:pPr>
      <w:rPr>
        <w:rFonts w:ascii="Symbol" w:hAnsi="Symbol"/>
      </w:rPr>
    </w:lvl>
    <w:lvl w:ilvl="4" w:tplc="54104ECA">
      <w:start w:val="1"/>
      <w:numFmt w:val="bullet"/>
      <w:lvlText w:val=""/>
      <w:lvlJc w:val="left"/>
      <w:pPr>
        <w:ind w:left="720" w:hanging="360"/>
      </w:pPr>
      <w:rPr>
        <w:rFonts w:ascii="Symbol" w:hAnsi="Symbol"/>
      </w:rPr>
    </w:lvl>
    <w:lvl w:ilvl="5" w:tplc="FB76662E">
      <w:start w:val="1"/>
      <w:numFmt w:val="bullet"/>
      <w:lvlText w:val=""/>
      <w:lvlJc w:val="left"/>
      <w:pPr>
        <w:ind w:left="720" w:hanging="360"/>
      </w:pPr>
      <w:rPr>
        <w:rFonts w:ascii="Symbol" w:hAnsi="Symbol"/>
      </w:rPr>
    </w:lvl>
    <w:lvl w:ilvl="6" w:tplc="4E7200E2">
      <w:start w:val="1"/>
      <w:numFmt w:val="bullet"/>
      <w:lvlText w:val=""/>
      <w:lvlJc w:val="left"/>
      <w:pPr>
        <w:ind w:left="720" w:hanging="360"/>
      </w:pPr>
      <w:rPr>
        <w:rFonts w:ascii="Symbol" w:hAnsi="Symbol"/>
      </w:rPr>
    </w:lvl>
    <w:lvl w:ilvl="7" w:tplc="2EE8D002">
      <w:start w:val="1"/>
      <w:numFmt w:val="bullet"/>
      <w:lvlText w:val=""/>
      <w:lvlJc w:val="left"/>
      <w:pPr>
        <w:ind w:left="720" w:hanging="360"/>
      </w:pPr>
      <w:rPr>
        <w:rFonts w:ascii="Symbol" w:hAnsi="Symbol"/>
      </w:rPr>
    </w:lvl>
    <w:lvl w:ilvl="8" w:tplc="6ED694D4">
      <w:start w:val="1"/>
      <w:numFmt w:val="bullet"/>
      <w:lvlText w:val=""/>
      <w:lvlJc w:val="left"/>
      <w:pPr>
        <w:ind w:left="720" w:hanging="360"/>
      </w:pPr>
      <w:rPr>
        <w:rFonts w:ascii="Symbol" w:hAnsi="Symbol"/>
      </w:rPr>
    </w:lvl>
  </w:abstractNum>
  <w:abstractNum w:abstractNumId="58" w15:restartNumberingAfterBreak="0">
    <w:nsid w:val="54E472C4"/>
    <w:multiLevelType w:val="hybridMultilevel"/>
    <w:tmpl w:val="0B5A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22139D"/>
    <w:multiLevelType w:val="hybridMultilevel"/>
    <w:tmpl w:val="B26E97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70E783E"/>
    <w:multiLevelType w:val="hybridMultilevel"/>
    <w:tmpl w:val="55DC4EB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82B3EBC"/>
    <w:multiLevelType w:val="hybridMultilevel"/>
    <w:tmpl w:val="82161834"/>
    <w:styleLink w:val="RFP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9735C41"/>
    <w:multiLevelType w:val="hybridMultilevel"/>
    <w:tmpl w:val="C4EC3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A5006DE"/>
    <w:multiLevelType w:val="hybridMultilevel"/>
    <w:tmpl w:val="5A922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D677F7D"/>
    <w:multiLevelType w:val="hybridMultilevel"/>
    <w:tmpl w:val="69460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ED54DED"/>
    <w:multiLevelType w:val="hybridMultilevel"/>
    <w:tmpl w:val="A26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F8B1101"/>
    <w:multiLevelType w:val="hybridMultilevel"/>
    <w:tmpl w:val="ECF6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21755CE"/>
    <w:multiLevelType w:val="hybridMultilevel"/>
    <w:tmpl w:val="F9700A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3545AD1"/>
    <w:multiLevelType w:val="hybridMultilevel"/>
    <w:tmpl w:val="87EA9E7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65390C24"/>
    <w:multiLevelType w:val="hybridMultilevel"/>
    <w:tmpl w:val="AD7AA418"/>
    <w:lvl w:ilvl="0" w:tplc="FFFFFFFF">
      <w:start w:val="1"/>
      <w:numFmt w:val="lowerLetter"/>
      <w:lvlText w:val="%1."/>
      <w:lvlJc w:val="left"/>
      <w:pPr>
        <w:ind w:left="1800" w:hanging="360"/>
      </w:pPr>
      <w:rPr>
        <w:b w:val="0"/>
        <w:bCs/>
        <w:i w:val="0"/>
        <w:i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0" w15:restartNumberingAfterBreak="0">
    <w:nsid w:val="653F63B9"/>
    <w:multiLevelType w:val="hybridMultilevel"/>
    <w:tmpl w:val="F62C9F9C"/>
    <w:styleLink w:val="StyleNumberedLeft25Hanging075"/>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6481D6C"/>
    <w:multiLevelType w:val="hybridMultilevel"/>
    <w:tmpl w:val="5546B968"/>
    <w:lvl w:ilvl="0" w:tplc="4D644D7A">
      <w:start w:val="1"/>
      <w:numFmt w:val="decimal"/>
      <w:lvlText w:val="%1."/>
      <w:lvlJc w:val="left"/>
      <w:pPr>
        <w:ind w:left="1080" w:hanging="360"/>
      </w:pPr>
      <w:rPr>
        <w:rFonts w:ascii="Tahoma" w:eastAsia="Times New Roman" w:hAnsi="Tahoma" w:cs="Arial"/>
      </w:rPr>
    </w:lvl>
    <w:lvl w:ilvl="1" w:tplc="8DE27922">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7167145"/>
    <w:multiLevelType w:val="hybridMultilevel"/>
    <w:tmpl w:val="880256C4"/>
    <w:lvl w:ilvl="0" w:tplc="F0ACA764">
      <w:start w:val="1"/>
      <w:numFmt w:val="bullet"/>
      <w:lvlText w:val=""/>
      <w:lvlJc w:val="left"/>
      <w:pPr>
        <w:ind w:left="720" w:hanging="360"/>
      </w:pPr>
      <w:rPr>
        <w:rFonts w:ascii="Symbol" w:hAnsi="Symbol"/>
      </w:rPr>
    </w:lvl>
    <w:lvl w:ilvl="1" w:tplc="4D58A60A">
      <w:start w:val="1"/>
      <w:numFmt w:val="bullet"/>
      <w:lvlText w:val=""/>
      <w:lvlJc w:val="left"/>
      <w:pPr>
        <w:ind w:left="720" w:hanging="360"/>
      </w:pPr>
      <w:rPr>
        <w:rFonts w:ascii="Symbol" w:hAnsi="Symbol"/>
      </w:rPr>
    </w:lvl>
    <w:lvl w:ilvl="2" w:tplc="6DDC1FF0">
      <w:start w:val="1"/>
      <w:numFmt w:val="bullet"/>
      <w:lvlText w:val=""/>
      <w:lvlJc w:val="left"/>
      <w:pPr>
        <w:ind w:left="720" w:hanging="360"/>
      </w:pPr>
      <w:rPr>
        <w:rFonts w:ascii="Symbol" w:hAnsi="Symbol"/>
      </w:rPr>
    </w:lvl>
    <w:lvl w:ilvl="3" w:tplc="A56495C6">
      <w:start w:val="1"/>
      <w:numFmt w:val="bullet"/>
      <w:lvlText w:val=""/>
      <w:lvlJc w:val="left"/>
      <w:pPr>
        <w:ind w:left="720" w:hanging="360"/>
      </w:pPr>
      <w:rPr>
        <w:rFonts w:ascii="Symbol" w:hAnsi="Symbol"/>
      </w:rPr>
    </w:lvl>
    <w:lvl w:ilvl="4" w:tplc="5F1E97CE">
      <w:start w:val="1"/>
      <w:numFmt w:val="bullet"/>
      <w:lvlText w:val=""/>
      <w:lvlJc w:val="left"/>
      <w:pPr>
        <w:ind w:left="720" w:hanging="360"/>
      </w:pPr>
      <w:rPr>
        <w:rFonts w:ascii="Symbol" w:hAnsi="Symbol"/>
      </w:rPr>
    </w:lvl>
    <w:lvl w:ilvl="5" w:tplc="21DEB010">
      <w:start w:val="1"/>
      <w:numFmt w:val="bullet"/>
      <w:lvlText w:val=""/>
      <w:lvlJc w:val="left"/>
      <w:pPr>
        <w:ind w:left="720" w:hanging="360"/>
      </w:pPr>
      <w:rPr>
        <w:rFonts w:ascii="Symbol" w:hAnsi="Symbol"/>
      </w:rPr>
    </w:lvl>
    <w:lvl w:ilvl="6" w:tplc="C63697F0">
      <w:start w:val="1"/>
      <w:numFmt w:val="bullet"/>
      <w:lvlText w:val=""/>
      <w:lvlJc w:val="left"/>
      <w:pPr>
        <w:ind w:left="720" w:hanging="360"/>
      </w:pPr>
      <w:rPr>
        <w:rFonts w:ascii="Symbol" w:hAnsi="Symbol"/>
      </w:rPr>
    </w:lvl>
    <w:lvl w:ilvl="7" w:tplc="616002DC">
      <w:start w:val="1"/>
      <w:numFmt w:val="bullet"/>
      <w:lvlText w:val=""/>
      <w:lvlJc w:val="left"/>
      <w:pPr>
        <w:ind w:left="720" w:hanging="360"/>
      </w:pPr>
      <w:rPr>
        <w:rFonts w:ascii="Symbol" w:hAnsi="Symbol"/>
      </w:rPr>
    </w:lvl>
    <w:lvl w:ilvl="8" w:tplc="27961270">
      <w:start w:val="1"/>
      <w:numFmt w:val="bullet"/>
      <w:lvlText w:val=""/>
      <w:lvlJc w:val="left"/>
      <w:pPr>
        <w:ind w:left="720" w:hanging="360"/>
      </w:pPr>
      <w:rPr>
        <w:rFonts w:ascii="Symbol" w:hAnsi="Symbol"/>
      </w:rPr>
    </w:lvl>
  </w:abstractNum>
  <w:abstractNum w:abstractNumId="73" w15:restartNumberingAfterBreak="0">
    <w:nsid w:val="68DB74B5"/>
    <w:multiLevelType w:val="hybridMultilevel"/>
    <w:tmpl w:val="E8F225C8"/>
    <w:lvl w:ilvl="0" w:tplc="FFFFFFFF">
      <w:start w:val="1"/>
      <w:numFmt w:val="decimal"/>
      <w:lvlText w:val="%1."/>
      <w:lvlJc w:val="left"/>
      <w:pPr>
        <w:ind w:left="720" w:hanging="360"/>
      </w:pPr>
      <w:rPr>
        <w:rFonts w:hint="default"/>
      </w:r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Roman"/>
      <w:lvlText w:val="%5."/>
      <w:lvlJc w:val="righ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96478DE"/>
    <w:multiLevelType w:val="multilevel"/>
    <w:tmpl w:val="752CADE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5" w15:restartNumberingAfterBreak="0">
    <w:nsid w:val="697210F4"/>
    <w:multiLevelType w:val="hybridMultilevel"/>
    <w:tmpl w:val="F496C776"/>
    <w:lvl w:ilvl="0" w:tplc="2B40BB14">
      <w:start w:val="1"/>
      <w:numFmt w:val="decimal"/>
      <w:lvlText w:val="%1."/>
      <w:lvlJc w:val="left"/>
      <w:pPr>
        <w:ind w:left="720" w:hanging="360"/>
      </w:pPr>
      <w:rPr>
        <w:rFonts w:hint="default"/>
      </w:rPr>
    </w:lvl>
    <w:lvl w:ilvl="1" w:tplc="8D5A51B8">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B946120"/>
    <w:multiLevelType w:val="hybridMultilevel"/>
    <w:tmpl w:val="CE3C7266"/>
    <w:lvl w:ilvl="0" w:tplc="04090017">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7" w15:restartNumberingAfterBreak="0">
    <w:nsid w:val="6DF939B2"/>
    <w:multiLevelType w:val="hybridMultilevel"/>
    <w:tmpl w:val="6414D134"/>
    <w:lvl w:ilvl="0" w:tplc="5C0E19EE">
      <w:start w:val="1"/>
      <w:numFmt w:val="bullet"/>
      <w:lvlText w:val=""/>
      <w:lvlJc w:val="left"/>
      <w:pPr>
        <w:ind w:left="720" w:hanging="360"/>
      </w:pPr>
      <w:rPr>
        <w:rFonts w:ascii="Symbol" w:hAnsi="Symbol"/>
      </w:rPr>
    </w:lvl>
    <w:lvl w:ilvl="1" w:tplc="14FC4810">
      <w:start w:val="1"/>
      <w:numFmt w:val="bullet"/>
      <w:lvlText w:val=""/>
      <w:lvlJc w:val="left"/>
      <w:pPr>
        <w:ind w:left="720" w:hanging="360"/>
      </w:pPr>
      <w:rPr>
        <w:rFonts w:ascii="Symbol" w:hAnsi="Symbol"/>
      </w:rPr>
    </w:lvl>
    <w:lvl w:ilvl="2" w:tplc="0AE8BA3A">
      <w:start w:val="1"/>
      <w:numFmt w:val="bullet"/>
      <w:lvlText w:val=""/>
      <w:lvlJc w:val="left"/>
      <w:pPr>
        <w:ind w:left="720" w:hanging="360"/>
      </w:pPr>
      <w:rPr>
        <w:rFonts w:ascii="Symbol" w:hAnsi="Symbol"/>
      </w:rPr>
    </w:lvl>
    <w:lvl w:ilvl="3" w:tplc="CB68F15A">
      <w:start w:val="1"/>
      <w:numFmt w:val="bullet"/>
      <w:lvlText w:val=""/>
      <w:lvlJc w:val="left"/>
      <w:pPr>
        <w:ind w:left="720" w:hanging="360"/>
      </w:pPr>
      <w:rPr>
        <w:rFonts w:ascii="Symbol" w:hAnsi="Symbol"/>
      </w:rPr>
    </w:lvl>
    <w:lvl w:ilvl="4" w:tplc="B1688E10">
      <w:start w:val="1"/>
      <w:numFmt w:val="bullet"/>
      <w:lvlText w:val=""/>
      <w:lvlJc w:val="left"/>
      <w:pPr>
        <w:ind w:left="720" w:hanging="360"/>
      </w:pPr>
      <w:rPr>
        <w:rFonts w:ascii="Symbol" w:hAnsi="Symbol"/>
      </w:rPr>
    </w:lvl>
    <w:lvl w:ilvl="5" w:tplc="95E2A162">
      <w:start w:val="1"/>
      <w:numFmt w:val="bullet"/>
      <w:lvlText w:val=""/>
      <w:lvlJc w:val="left"/>
      <w:pPr>
        <w:ind w:left="720" w:hanging="360"/>
      </w:pPr>
      <w:rPr>
        <w:rFonts w:ascii="Symbol" w:hAnsi="Symbol"/>
      </w:rPr>
    </w:lvl>
    <w:lvl w:ilvl="6" w:tplc="C02626C2">
      <w:start w:val="1"/>
      <w:numFmt w:val="bullet"/>
      <w:lvlText w:val=""/>
      <w:lvlJc w:val="left"/>
      <w:pPr>
        <w:ind w:left="720" w:hanging="360"/>
      </w:pPr>
      <w:rPr>
        <w:rFonts w:ascii="Symbol" w:hAnsi="Symbol"/>
      </w:rPr>
    </w:lvl>
    <w:lvl w:ilvl="7" w:tplc="50706148">
      <w:start w:val="1"/>
      <w:numFmt w:val="bullet"/>
      <w:lvlText w:val=""/>
      <w:lvlJc w:val="left"/>
      <w:pPr>
        <w:ind w:left="720" w:hanging="360"/>
      </w:pPr>
      <w:rPr>
        <w:rFonts w:ascii="Symbol" w:hAnsi="Symbol"/>
      </w:rPr>
    </w:lvl>
    <w:lvl w:ilvl="8" w:tplc="5CC67D8A">
      <w:start w:val="1"/>
      <w:numFmt w:val="bullet"/>
      <w:lvlText w:val=""/>
      <w:lvlJc w:val="left"/>
      <w:pPr>
        <w:ind w:left="720" w:hanging="360"/>
      </w:pPr>
      <w:rPr>
        <w:rFonts w:ascii="Symbol" w:hAnsi="Symbol"/>
      </w:rPr>
    </w:lvl>
  </w:abstractNum>
  <w:abstractNum w:abstractNumId="78" w15:restartNumberingAfterBreak="0">
    <w:nsid w:val="70646BCC"/>
    <w:multiLevelType w:val="hybridMultilevel"/>
    <w:tmpl w:val="5406C2CA"/>
    <w:styleLink w:val="CurrentList1"/>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1081D37"/>
    <w:multiLevelType w:val="multilevel"/>
    <w:tmpl w:val="21340C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0" w15:restartNumberingAfterBreak="0">
    <w:nsid w:val="71D96032"/>
    <w:multiLevelType w:val="multilevel"/>
    <w:tmpl w:val="73E6B9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71DE192C"/>
    <w:multiLevelType w:val="hybridMultilevel"/>
    <w:tmpl w:val="BB0AECD4"/>
    <w:lvl w:ilvl="0" w:tplc="184C9060">
      <w:start w:val="1"/>
      <w:numFmt w:val="bullet"/>
      <w:lvlText w:val="•"/>
      <w:lvlJc w:val="left"/>
      <w:pPr>
        <w:tabs>
          <w:tab w:val="num" w:pos="720"/>
        </w:tabs>
        <w:ind w:left="720" w:hanging="360"/>
      </w:pPr>
      <w:rPr>
        <w:rFonts w:ascii="Arial" w:hAnsi="Arial" w:hint="default"/>
      </w:rPr>
    </w:lvl>
    <w:lvl w:ilvl="1" w:tplc="5FB41120">
      <w:start w:val="1"/>
      <w:numFmt w:val="bullet"/>
      <w:lvlText w:val="•"/>
      <w:lvlJc w:val="left"/>
      <w:pPr>
        <w:tabs>
          <w:tab w:val="num" w:pos="1440"/>
        </w:tabs>
        <w:ind w:left="1440" w:hanging="360"/>
      </w:pPr>
      <w:rPr>
        <w:rFonts w:ascii="Arial" w:hAnsi="Arial" w:hint="default"/>
      </w:rPr>
    </w:lvl>
    <w:lvl w:ilvl="2" w:tplc="613810A8">
      <w:start w:val="1"/>
      <w:numFmt w:val="decimal"/>
      <w:lvlText w:val="%3."/>
      <w:lvlJc w:val="left"/>
      <w:pPr>
        <w:tabs>
          <w:tab w:val="num" w:pos="2160"/>
        </w:tabs>
        <w:ind w:left="2160" w:hanging="360"/>
      </w:pPr>
    </w:lvl>
    <w:lvl w:ilvl="3" w:tplc="3A46115C" w:tentative="1">
      <w:start w:val="1"/>
      <w:numFmt w:val="bullet"/>
      <w:lvlText w:val="•"/>
      <w:lvlJc w:val="left"/>
      <w:pPr>
        <w:tabs>
          <w:tab w:val="num" w:pos="2880"/>
        </w:tabs>
        <w:ind w:left="2880" w:hanging="360"/>
      </w:pPr>
      <w:rPr>
        <w:rFonts w:ascii="Arial" w:hAnsi="Arial" w:hint="default"/>
      </w:rPr>
    </w:lvl>
    <w:lvl w:ilvl="4" w:tplc="771CFD5C" w:tentative="1">
      <w:start w:val="1"/>
      <w:numFmt w:val="bullet"/>
      <w:lvlText w:val="•"/>
      <w:lvlJc w:val="left"/>
      <w:pPr>
        <w:tabs>
          <w:tab w:val="num" w:pos="3600"/>
        </w:tabs>
        <w:ind w:left="3600" w:hanging="360"/>
      </w:pPr>
      <w:rPr>
        <w:rFonts w:ascii="Arial" w:hAnsi="Arial" w:hint="default"/>
      </w:rPr>
    </w:lvl>
    <w:lvl w:ilvl="5" w:tplc="790C639A" w:tentative="1">
      <w:start w:val="1"/>
      <w:numFmt w:val="bullet"/>
      <w:lvlText w:val="•"/>
      <w:lvlJc w:val="left"/>
      <w:pPr>
        <w:tabs>
          <w:tab w:val="num" w:pos="4320"/>
        </w:tabs>
        <w:ind w:left="4320" w:hanging="360"/>
      </w:pPr>
      <w:rPr>
        <w:rFonts w:ascii="Arial" w:hAnsi="Arial" w:hint="default"/>
      </w:rPr>
    </w:lvl>
    <w:lvl w:ilvl="6" w:tplc="96D63586" w:tentative="1">
      <w:start w:val="1"/>
      <w:numFmt w:val="bullet"/>
      <w:lvlText w:val="•"/>
      <w:lvlJc w:val="left"/>
      <w:pPr>
        <w:tabs>
          <w:tab w:val="num" w:pos="5040"/>
        </w:tabs>
        <w:ind w:left="5040" w:hanging="360"/>
      </w:pPr>
      <w:rPr>
        <w:rFonts w:ascii="Arial" w:hAnsi="Arial" w:hint="default"/>
      </w:rPr>
    </w:lvl>
    <w:lvl w:ilvl="7" w:tplc="B79440A4" w:tentative="1">
      <w:start w:val="1"/>
      <w:numFmt w:val="bullet"/>
      <w:lvlText w:val="•"/>
      <w:lvlJc w:val="left"/>
      <w:pPr>
        <w:tabs>
          <w:tab w:val="num" w:pos="5760"/>
        </w:tabs>
        <w:ind w:left="5760" w:hanging="360"/>
      </w:pPr>
      <w:rPr>
        <w:rFonts w:ascii="Arial" w:hAnsi="Arial" w:hint="default"/>
      </w:rPr>
    </w:lvl>
    <w:lvl w:ilvl="8" w:tplc="4B8CAD4E"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2C40DEC"/>
    <w:multiLevelType w:val="hybridMultilevel"/>
    <w:tmpl w:val="83389EAE"/>
    <w:lvl w:ilvl="0" w:tplc="1A9ACBFC">
      <w:start w:val="1"/>
      <w:numFmt w:val="bullet"/>
      <w:lvlText w:val=""/>
      <w:lvlJc w:val="left"/>
      <w:pPr>
        <w:ind w:left="720" w:hanging="360"/>
      </w:pPr>
      <w:rPr>
        <w:rFonts w:ascii="Symbol" w:hAnsi="Symbol"/>
      </w:rPr>
    </w:lvl>
    <w:lvl w:ilvl="1" w:tplc="11B0D2B8">
      <w:start w:val="1"/>
      <w:numFmt w:val="bullet"/>
      <w:lvlText w:val=""/>
      <w:lvlJc w:val="left"/>
      <w:pPr>
        <w:ind w:left="720" w:hanging="360"/>
      </w:pPr>
      <w:rPr>
        <w:rFonts w:ascii="Symbol" w:hAnsi="Symbol"/>
      </w:rPr>
    </w:lvl>
    <w:lvl w:ilvl="2" w:tplc="5380AF1E">
      <w:start w:val="1"/>
      <w:numFmt w:val="bullet"/>
      <w:lvlText w:val=""/>
      <w:lvlJc w:val="left"/>
      <w:pPr>
        <w:ind w:left="720" w:hanging="360"/>
      </w:pPr>
      <w:rPr>
        <w:rFonts w:ascii="Symbol" w:hAnsi="Symbol"/>
      </w:rPr>
    </w:lvl>
    <w:lvl w:ilvl="3" w:tplc="B484A8C8">
      <w:start w:val="1"/>
      <w:numFmt w:val="bullet"/>
      <w:lvlText w:val=""/>
      <w:lvlJc w:val="left"/>
      <w:pPr>
        <w:ind w:left="720" w:hanging="360"/>
      </w:pPr>
      <w:rPr>
        <w:rFonts w:ascii="Symbol" w:hAnsi="Symbol"/>
      </w:rPr>
    </w:lvl>
    <w:lvl w:ilvl="4" w:tplc="92926CD8">
      <w:start w:val="1"/>
      <w:numFmt w:val="bullet"/>
      <w:lvlText w:val=""/>
      <w:lvlJc w:val="left"/>
      <w:pPr>
        <w:ind w:left="720" w:hanging="360"/>
      </w:pPr>
      <w:rPr>
        <w:rFonts w:ascii="Symbol" w:hAnsi="Symbol"/>
      </w:rPr>
    </w:lvl>
    <w:lvl w:ilvl="5" w:tplc="1E46C730">
      <w:start w:val="1"/>
      <w:numFmt w:val="bullet"/>
      <w:lvlText w:val=""/>
      <w:lvlJc w:val="left"/>
      <w:pPr>
        <w:ind w:left="720" w:hanging="360"/>
      </w:pPr>
      <w:rPr>
        <w:rFonts w:ascii="Symbol" w:hAnsi="Symbol"/>
      </w:rPr>
    </w:lvl>
    <w:lvl w:ilvl="6" w:tplc="2C3C58D6">
      <w:start w:val="1"/>
      <w:numFmt w:val="bullet"/>
      <w:lvlText w:val=""/>
      <w:lvlJc w:val="left"/>
      <w:pPr>
        <w:ind w:left="720" w:hanging="360"/>
      </w:pPr>
      <w:rPr>
        <w:rFonts w:ascii="Symbol" w:hAnsi="Symbol"/>
      </w:rPr>
    </w:lvl>
    <w:lvl w:ilvl="7" w:tplc="5BAE9D0E">
      <w:start w:val="1"/>
      <w:numFmt w:val="bullet"/>
      <w:lvlText w:val=""/>
      <w:lvlJc w:val="left"/>
      <w:pPr>
        <w:ind w:left="720" w:hanging="360"/>
      </w:pPr>
      <w:rPr>
        <w:rFonts w:ascii="Symbol" w:hAnsi="Symbol"/>
      </w:rPr>
    </w:lvl>
    <w:lvl w:ilvl="8" w:tplc="D28CFD90">
      <w:start w:val="1"/>
      <w:numFmt w:val="bullet"/>
      <w:lvlText w:val=""/>
      <w:lvlJc w:val="left"/>
      <w:pPr>
        <w:ind w:left="720" w:hanging="360"/>
      </w:pPr>
      <w:rPr>
        <w:rFonts w:ascii="Symbol" w:hAnsi="Symbol"/>
      </w:rPr>
    </w:lvl>
  </w:abstractNum>
  <w:abstractNum w:abstractNumId="83" w15:restartNumberingAfterBreak="0">
    <w:nsid w:val="73431496"/>
    <w:multiLevelType w:val="multilevel"/>
    <w:tmpl w:val="F3AE029A"/>
    <w:lvl w:ilvl="0">
      <w:start w:val="1"/>
      <w:numFmt w:val="bullet"/>
      <w:lvlText w:val=""/>
      <w:lvlJc w:val="left"/>
      <w:pPr>
        <w:ind w:left="1080" w:hanging="360"/>
      </w:pPr>
      <w:rPr>
        <w:rFonts w:ascii="Symbol" w:hAnsi="Symbol" w:hint="default"/>
        <w:b w:val="0"/>
      </w:rPr>
    </w:lvl>
    <w:lvl w:ilvl="1">
      <w:start w:val="1"/>
      <w:numFmt w:val="lowerLetter"/>
      <w:lvlText w:val="%2."/>
      <w:lvlJc w:val="left"/>
      <w:pPr>
        <w:ind w:left="720" w:hanging="360"/>
      </w:p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4" w15:restartNumberingAfterBreak="0">
    <w:nsid w:val="75946E18"/>
    <w:multiLevelType w:val="hybridMultilevel"/>
    <w:tmpl w:val="A136416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5" w15:restartNumberingAfterBreak="0">
    <w:nsid w:val="7A0274F0"/>
    <w:multiLevelType w:val="multilevel"/>
    <w:tmpl w:val="04F2FAC0"/>
    <w:lvl w:ilvl="0">
      <w:start w:val="5"/>
      <w:numFmt w:val="lowerLetter"/>
      <w:lvlText w:val="%1."/>
      <w:lvlJc w:val="left"/>
      <w:pPr>
        <w:ind w:left="1080" w:hanging="360"/>
      </w:pPr>
      <w:rPr>
        <w:rFonts w:hint="default"/>
        <w:b w:val="0"/>
      </w:rPr>
    </w:lvl>
    <w:lvl w:ilvl="1">
      <w:start w:val="1"/>
      <w:numFmt w:val="decimal"/>
      <w:lvlText w:val="%2."/>
      <w:lvlJc w:val="left"/>
      <w:pPr>
        <w:ind w:left="1440" w:hanging="360"/>
      </w:pPr>
      <w:rPr>
        <w:rFonts w:hint="default"/>
        <w:b/>
      </w:rPr>
    </w:lvl>
    <w:lvl w:ilvl="2">
      <w:start w:val="4"/>
      <w:numFmt w:val="lowerLetter"/>
      <w:lvlText w:val="%3."/>
      <w:lvlJc w:val="right"/>
      <w:pPr>
        <w:ind w:left="1800" w:hanging="360"/>
      </w:pPr>
      <w:rPr>
        <w:rFonts w:hint="default"/>
        <w:b w:val="0"/>
        <w:bCs/>
      </w:rPr>
    </w:lvl>
    <w:lvl w:ilvl="3">
      <w:start w:val="1"/>
      <w:numFmt w:val="lowerRoman"/>
      <w:lvlText w:val="%4."/>
      <w:lvlJc w:val="left"/>
      <w:pPr>
        <w:ind w:left="216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6" w15:restartNumberingAfterBreak="0">
    <w:nsid w:val="7A252A12"/>
    <w:multiLevelType w:val="hybridMultilevel"/>
    <w:tmpl w:val="59B2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A903D05"/>
    <w:multiLevelType w:val="hybridMultilevel"/>
    <w:tmpl w:val="7660E290"/>
    <w:styleLink w:val="SubListStyle-1"/>
    <w:lvl w:ilvl="0" w:tplc="6A92E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BEA19C9"/>
    <w:multiLevelType w:val="hybridMultilevel"/>
    <w:tmpl w:val="CACEE26A"/>
    <w:lvl w:ilvl="0" w:tplc="E3026438">
      <w:start w:val="3"/>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9">
      <w:start w:val="1"/>
      <w:numFmt w:val="lowerLetter"/>
      <w:lvlText w:val="%3."/>
      <w:lvlJc w:val="left"/>
      <w:pPr>
        <w:ind w:left="720" w:hanging="360"/>
      </w:pPr>
    </w:lvl>
    <w:lvl w:ilvl="3" w:tplc="79DA18D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7C1EB29E"/>
    <w:multiLevelType w:val="hybridMultilevel"/>
    <w:tmpl w:val="FFFFFFFF"/>
    <w:lvl w:ilvl="0" w:tplc="40626C66">
      <w:start w:val="1"/>
      <w:numFmt w:val="decimal"/>
      <w:lvlText w:val="%1."/>
      <w:lvlJc w:val="left"/>
      <w:pPr>
        <w:ind w:left="720" w:hanging="360"/>
      </w:pPr>
    </w:lvl>
    <w:lvl w:ilvl="1" w:tplc="0FFA36CC">
      <w:start w:val="1"/>
      <w:numFmt w:val="lowerLetter"/>
      <w:lvlText w:val="%2."/>
      <w:lvlJc w:val="left"/>
      <w:pPr>
        <w:ind w:left="1440" w:hanging="360"/>
      </w:pPr>
    </w:lvl>
    <w:lvl w:ilvl="2" w:tplc="76DC7758">
      <w:start w:val="1"/>
      <w:numFmt w:val="lowerRoman"/>
      <w:lvlText w:val="%3."/>
      <w:lvlJc w:val="right"/>
      <w:pPr>
        <w:ind w:left="2160" w:hanging="180"/>
      </w:pPr>
    </w:lvl>
    <w:lvl w:ilvl="3" w:tplc="F5A67E02">
      <w:start w:val="1"/>
      <w:numFmt w:val="decimal"/>
      <w:lvlText w:val="%4."/>
      <w:lvlJc w:val="left"/>
      <w:pPr>
        <w:ind w:left="2880" w:hanging="360"/>
      </w:pPr>
    </w:lvl>
    <w:lvl w:ilvl="4" w:tplc="B67C37C0">
      <w:start w:val="1"/>
      <w:numFmt w:val="lowerLetter"/>
      <w:lvlText w:val="%5."/>
      <w:lvlJc w:val="left"/>
      <w:pPr>
        <w:ind w:left="3600" w:hanging="360"/>
      </w:pPr>
    </w:lvl>
    <w:lvl w:ilvl="5" w:tplc="0BE6FB52">
      <w:start w:val="1"/>
      <w:numFmt w:val="lowerRoman"/>
      <w:lvlText w:val="%6."/>
      <w:lvlJc w:val="right"/>
      <w:pPr>
        <w:ind w:left="4320" w:hanging="180"/>
      </w:pPr>
    </w:lvl>
    <w:lvl w:ilvl="6" w:tplc="0FB269F6">
      <w:start w:val="1"/>
      <w:numFmt w:val="decimal"/>
      <w:lvlText w:val="%7."/>
      <w:lvlJc w:val="left"/>
      <w:pPr>
        <w:ind w:left="5040" w:hanging="360"/>
      </w:pPr>
    </w:lvl>
    <w:lvl w:ilvl="7" w:tplc="A01841F8">
      <w:start w:val="1"/>
      <w:numFmt w:val="lowerLetter"/>
      <w:lvlText w:val="%8."/>
      <w:lvlJc w:val="left"/>
      <w:pPr>
        <w:ind w:left="5760" w:hanging="360"/>
      </w:pPr>
    </w:lvl>
    <w:lvl w:ilvl="8" w:tplc="1190283E">
      <w:start w:val="1"/>
      <w:numFmt w:val="lowerRoman"/>
      <w:lvlText w:val="%9."/>
      <w:lvlJc w:val="right"/>
      <w:pPr>
        <w:ind w:left="6480" w:hanging="180"/>
      </w:pPr>
    </w:lvl>
  </w:abstractNum>
  <w:abstractNum w:abstractNumId="90" w15:restartNumberingAfterBreak="0">
    <w:nsid w:val="7E097A70"/>
    <w:multiLevelType w:val="hybridMultilevel"/>
    <w:tmpl w:val="F62C9F9C"/>
    <w:styleLink w:val="StyleNumbered11ptLeft025Hanging05"/>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F203C81"/>
    <w:multiLevelType w:val="hybridMultilevel"/>
    <w:tmpl w:val="F62C9F9C"/>
    <w:styleLink w:val="RFP"/>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670263">
    <w:abstractNumId w:val="37"/>
  </w:num>
  <w:num w:numId="2" w16cid:durableId="1329745735">
    <w:abstractNumId w:val="7"/>
  </w:num>
  <w:num w:numId="3" w16cid:durableId="1497918250">
    <w:abstractNumId w:val="31"/>
  </w:num>
  <w:num w:numId="4" w16cid:durableId="968051669">
    <w:abstractNumId w:val="63"/>
  </w:num>
  <w:num w:numId="5" w16cid:durableId="578828865">
    <w:abstractNumId w:val="90"/>
  </w:num>
  <w:num w:numId="6" w16cid:durableId="1810320010">
    <w:abstractNumId w:val="70"/>
  </w:num>
  <w:num w:numId="7" w16cid:durableId="1868370836">
    <w:abstractNumId w:val="91"/>
  </w:num>
  <w:num w:numId="8" w16cid:durableId="172384342">
    <w:abstractNumId w:val="61"/>
  </w:num>
  <w:num w:numId="9" w16cid:durableId="586306456">
    <w:abstractNumId w:val="9"/>
  </w:num>
  <w:num w:numId="10" w16cid:durableId="32467369">
    <w:abstractNumId w:val="42"/>
  </w:num>
  <w:num w:numId="11" w16cid:durableId="733703986">
    <w:abstractNumId w:val="15"/>
  </w:num>
  <w:num w:numId="12" w16cid:durableId="1591505497">
    <w:abstractNumId w:val="2"/>
  </w:num>
  <w:num w:numId="13" w16cid:durableId="1410497160">
    <w:abstractNumId w:val="84"/>
  </w:num>
  <w:num w:numId="14" w16cid:durableId="1658877542">
    <w:abstractNumId w:val="86"/>
  </w:num>
  <w:num w:numId="15" w16cid:durableId="797727327">
    <w:abstractNumId w:val="40"/>
  </w:num>
  <w:num w:numId="16" w16cid:durableId="1353339477">
    <w:abstractNumId w:val="65"/>
  </w:num>
  <w:num w:numId="17" w16cid:durableId="1154683687">
    <w:abstractNumId w:val="33"/>
  </w:num>
  <w:num w:numId="18" w16cid:durableId="1545020810">
    <w:abstractNumId w:val="67"/>
  </w:num>
  <w:num w:numId="19" w16cid:durableId="869611198">
    <w:abstractNumId w:val="47"/>
  </w:num>
  <w:num w:numId="20" w16cid:durableId="1016078557">
    <w:abstractNumId w:val="6"/>
  </w:num>
  <w:num w:numId="21" w16cid:durableId="871188734">
    <w:abstractNumId w:val="36"/>
  </w:num>
  <w:num w:numId="22" w16cid:durableId="873812119">
    <w:abstractNumId w:val="44"/>
  </w:num>
  <w:num w:numId="23" w16cid:durableId="1065301027">
    <w:abstractNumId w:val="49"/>
  </w:num>
  <w:num w:numId="24" w16cid:durableId="861628913">
    <w:abstractNumId w:val="52"/>
  </w:num>
  <w:num w:numId="25" w16cid:durableId="1730498305">
    <w:abstractNumId w:val="79"/>
  </w:num>
  <w:num w:numId="26" w16cid:durableId="1863587442">
    <w:abstractNumId w:val="14"/>
  </w:num>
  <w:num w:numId="27" w16cid:durableId="1057389642">
    <w:abstractNumId w:val="74"/>
  </w:num>
  <w:num w:numId="28" w16cid:durableId="99763949">
    <w:abstractNumId w:val="29"/>
  </w:num>
  <w:num w:numId="29" w16cid:durableId="869075040">
    <w:abstractNumId w:val="12"/>
  </w:num>
  <w:num w:numId="30" w16cid:durableId="105467980">
    <w:abstractNumId w:val="80"/>
  </w:num>
  <w:num w:numId="31" w16cid:durableId="943194891">
    <w:abstractNumId w:val="10"/>
  </w:num>
  <w:num w:numId="32" w16cid:durableId="671226580">
    <w:abstractNumId w:val="48"/>
  </w:num>
  <w:num w:numId="33" w16cid:durableId="587274690">
    <w:abstractNumId w:val="4"/>
  </w:num>
  <w:num w:numId="34" w16cid:durableId="431361306">
    <w:abstractNumId w:val="59"/>
  </w:num>
  <w:num w:numId="35" w16cid:durableId="1036007883">
    <w:abstractNumId w:val="34"/>
  </w:num>
  <w:num w:numId="36" w16cid:durableId="1301769497">
    <w:abstractNumId w:val="78"/>
  </w:num>
  <w:num w:numId="37" w16cid:durableId="222108033">
    <w:abstractNumId w:val="3"/>
  </w:num>
  <w:num w:numId="38" w16cid:durableId="1314524244">
    <w:abstractNumId w:val="35"/>
  </w:num>
  <w:num w:numId="39" w16cid:durableId="1384869650">
    <w:abstractNumId w:val="54"/>
  </w:num>
  <w:num w:numId="40" w16cid:durableId="2010327268">
    <w:abstractNumId w:val="87"/>
  </w:num>
  <w:num w:numId="41" w16cid:durableId="56901985">
    <w:abstractNumId w:val="56"/>
  </w:num>
  <w:num w:numId="42" w16cid:durableId="509294840">
    <w:abstractNumId w:val="41"/>
  </w:num>
  <w:num w:numId="43" w16cid:durableId="345447985">
    <w:abstractNumId w:val="8"/>
    <w:lvlOverride w:ilvl="0">
      <w:startOverride w:val="1"/>
    </w:lvlOverride>
  </w:num>
  <w:num w:numId="44" w16cid:durableId="1174800395">
    <w:abstractNumId w:val="51"/>
  </w:num>
  <w:num w:numId="45" w16cid:durableId="674961658">
    <w:abstractNumId w:val="60"/>
  </w:num>
  <w:num w:numId="46" w16cid:durableId="1175068242">
    <w:abstractNumId w:val="5"/>
  </w:num>
  <w:num w:numId="47" w16cid:durableId="26567828">
    <w:abstractNumId w:val="66"/>
  </w:num>
  <w:num w:numId="48" w16cid:durableId="809129369">
    <w:abstractNumId w:val="22"/>
  </w:num>
  <w:num w:numId="49" w16cid:durableId="936790666">
    <w:abstractNumId w:val="71"/>
  </w:num>
  <w:num w:numId="50" w16cid:durableId="1445265880">
    <w:abstractNumId w:val="76"/>
  </w:num>
  <w:num w:numId="51" w16cid:durableId="1318416457">
    <w:abstractNumId w:val="23"/>
  </w:num>
  <w:num w:numId="52" w16cid:durableId="815143797">
    <w:abstractNumId w:val="46"/>
  </w:num>
  <w:num w:numId="53" w16cid:durableId="517088387">
    <w:abstractNumId w:val="73"/>
  </w:num>
  <w:num w:numId="54" w16cid:durableId="18555451">
    <w:abstractNumId w:val="45"/>
  </w:num>
  <w:num w:numId="55" w16cid:durableId="831214753">
    <w:abstractNumId w:val="88"/>
  </w:num>
  <w:num w:numId="56" w16cid:durableId="513154515">
    <w:abstractNumId w:val="68"/>
  </w:num>
  <w:num w:numId="57" w16cid:durableId="1103379792">
    <w:abstractNumId w:val="75"/>
  </w:num>
  <w:num w:numId="58" w16cid:durableId="1313832647">
    <w:abstractNumId w:val="11"/>
    <w:lvlOverride w:ilvl="0">
      <w:startOverride w:val="1"/>
    </w:lvlOverride>
  </w:num>
  <w:num w:numId="59" w16cid:durableId="1677994880">
    <w:abstractNumId w:val="11"/>
    <w:lvlOverride w:ilvl="0">
      <w:startOverride w:val="1"/>
    </w:lvlOverride>
  </w:num>
  <w:num w:numId="60" w16cid:durableId="418139769">
    <w:abstractNumId w:val="81"/>
  </w:num>
  <w:num w:numId="61" w16cid:durableId="507983337">
    <w:abstractNumId w:val="32"/>
  </w:num>
  <w:num w:numId="62" w16cid:durableId="893809494">
    <w:abstractNumId w:val="19"/>
  </w:num>
  <w:num w:numId="63" w16cid:durableId="1069419317">
    <w:abstractNumId w:val="21"/>
  </w:num>
  <w:num w:numId="64" w16cid:durableId="1990475430">
    <w:abstractNumId w:val="26"/>
  </w:num>
  <w:num w:numId="65" w16cid:durableId="1644389842">
    <w:abstractNumId w:val="18"/>
  </w:num>
  <w:num w:numId="66" w16cid:durableId="1541169530">
    <w:abstractNumId w:val="55"/>
  </w:num>
  <w:num w:numId="67" w16cid:durableId="1165168051">
    <w:abstractNumId w:val="55"/>
    <w:lvlOverride w:ilvl="0">
      <w:startOverride w:val="1"/>
    </w:lvlOverride>
  </w:num>
  <w:num w:numId="68" w16cid:durableId="1485509760">
    <w:abstractNumId w:val="25"/>
  </w:num>
  <w:num w:numId="69" w16cid:durableId="1079131155">
    <w:abstractNumId w:val="17"/>
  </w:num>
  <w:num w:numId="70" w16cid:durableId="1384256282">
    <w:abstractNumId w:val="53"/>
  </w:num>
  <w:num w:numId="71" w16cid:durableId="2019232630">
    <w:abstractNumId w:val="69"/>
  </w:num>
  <w:num w:numId="72" w16cid:durableId="479344295">
    <w:abstractNumId w:val="50"/>
  </w:num>
  <w:num w:numId="73" w16cid:durableId="1321083197">
    <w:abstractNumId w:val="55"/>
    <w:lvlOverride w:ilvl="0">
      <w:startOverride w:val="1"/>
    </w:lvlOverride>
  </w:num>
  <w:num w:numId="74" w16cid:durableId="954557271">
    <w:abstractNumId w:val="16"/>
  </w:num>
  <w:num w:numId="75" w16cid:durableId="53242164">
    <w:abstractNumId w:val="55"/>
    <w:lvlOverride w:ilvl="0">
      <w:startOverride w:val="1"/>
    </w:lvlOverride>
  </w:num>
  <w:num w:numId="76" w16cid:durableId="1297300938">
    <w:abstractNumId w:val="39"/>
  </w:num>
  <w:num w:numId="77" w16cid:durableId="1885485963">
    <w:abstractNumId w:val="28"/>
  </w:num>
  <w:num w:numId="78" w16cid:durableId="386490594">
    <w:abstractNumId w:val="55"/>
    <w:lvlOverride w:ilvl="0">
      <w:startOverride w:val="1"/>
    </w:lvlOverride>
  </w:num>
  <w:num w:numId="79" w16cid:durableId="1223371227">
    <w:abstractNumId w:val="1"/>
  </w:num>
  <w:num w:numId="80" w16cid:durableId="1895699389">
    <w:abstractNumId w:val="64"/>
  </w:num>
  <w:num w:numId="81" w16cid:durableId="88744481">
    <w:abstractNumId w:val="82"/>
  </w:num>
  <w:num w:numId="82" w16cid:durableId="719942748">
    <w:abstractNumId w:val="0"/>
  </w:num>
  <w:num w:numId="83" w16cid:durableId="1293947793">
    <w:abstractNumId w:val="77"/>
  </w:num>
  <w:num w:numId="84" w16cid:durableId="370765136">
    <w:abstractNumId w:val="57"/>
  </w:num>
  <w:num w:numId="85" w16cid:durableId="622733414">
    <w:abstractNumId w:val="20"/>
  </w:num>
  <w:num w:numId="86" w16cid:durableId="1350448799">
    <w:abstractNumId w:val="27"/>
  </w:num>
  <w:num w:numId="87" w16cid:durableId="458186079">
    <w:abstractNumId w:val="24"/>
  </w:num>
  <w:num w:numId="88" w16cid:durableId="1264070585">
    <w:abstractNumId w:val="72"/>
  </w:num>
  <w:num w:numId="89" w16cid:durableId="1416366132">
    <w:abstractNumId w:val="62"/>
  </w:num>
  <w:num w:numId="90" w16cid:durableId="457264826">
    <w:abstractNumId w:val="58"/>
  </w:num>
  <w:num w:numId="91" w16cid:durableId="1431657345">
    <w:abstractNumId w:val="30"/>
  </w:num>
  <w:num w:numId="92" w16cid:durableId="234095488">
    <w:abstractNumId w:val="85"/>
  </w:num>
  <w:num w:numId="93" w16cid:durableId="1901091335">
    <w:abstractNumId w:val="13"/>
  </w:num>
  <w:num w:numId="94" w16cid:durableId="1634873011">
    <w:abstractNumId w:val="38"/>
  </w:num>
  <w:num w:numId="95" w16cid:durableId="1801537806">
    <w:abstractNumId w:val="83"/>
  </w:num>
  <w:num w:numId="96" w16cid:durableId="1548684253">
    <w:abstractNumId w:val="43"/>
  </w:num>
  <w:num w:numId="97" w16cid:durableId="1930654782">
    <w:abstractNumId w:val="89"/>
  </w:num>
  <w:num w:numId="98" w16cid:durableId="1174952350">
    <w:abstractNumId w:val="55"/>
  </w:num>
  <w:num w:numId="99" w16cid:durableId="1218250213">
    <w:abstractNumId w:val="55"/>
  </w:num>
  <w:num w:numId="100" w16cid:durableId="1046637990">
    <w:abstractNumId w:val="55"/>
  </w:num>
  <w:num w:numId="101" w16cid:durableId="1531918796">
    <w:abstractNumId w:val="55"/>
  </w:num>
  <w:num w:numId="102" w16cid:durableId="1527139319">
    <w:abstractNumId w:val="55"/>
  </w:num>
  <w:num w:numId="103" w16cid:durableId="367686668">
    <w:abstractNumId w:val="55"/>
  </w:num>
  <w:num w:numId="104" w16cid:durableId="637491104">
    <w:abstractNumId w:val="55"/>
  </w:num>
  <w:num w:numId="105" w16cid:durableId="2049182632">
    <w:abstractNumId w:val="5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EC5"/>
    <w:rsid w:val="00000069"/>
    <w:rsid w:val="00000361"/>
    <w:rsid w:val="00000397"/>
    <w:rsid w:val="000004F4"/>
    <w:rsid w:val="00000598"/>
    <w:rsid w:val="0000095E"/>
    <w:rsid w:val="000009A1"/>
    <w:rsid w:val="00001099"/>
    <w:rsid w:val="000011B8"/>
    <w:rsid w:val="000013B1"/>
    <w:rsid w:val="00001751"/>
    <w:rsid w:val="00001B26"/>
    <w:rsid w:val="00001E49"/>
    <w:rsid w:val="00001E6A"/>
    <w:rsid w:val="00002801"/>
    <w:rsid w:val="00002AFB"/>
    <w:rsid w:val="00002D92"/>
    <w:rsid w:val="00002F67"/>
    <w:rsid w:val="00002FF8"/>
    <w:rsid w:val="000030EF"/>
    <w:rsid w:val="00003DA7"/>
    <w:rsid w:val="00003EF3"/>
    <w:rsid w:val="00003FAB"/>
    <w:rsid w:val="0000463F"/>
    <w:rsid w:val="000049DC"/>
    <w:rsid w:val="00004C0C"/>
    <w:rsid w:val="00004D5D"/>
    <w:rsid w:val="00005061"/>
    <w:rsid w:val="00005665"/>
    <w:rsid w:val="000058EC"/>
    <w:rsid w:val="00005941"/>
    <w:rsid w:val="00005E15"/>
    <w:rsid w:val="00005E6D"/>
    <w:rsid w:val="00005EF4"/>
    <w:rsid w:val="0000627F"/>
    <w:rsid w:val="000065D5"/>
    <w:rsid w:val="000066C4"/>
    <w:rsid w:val="000067CC"/>
    <w:rsid w:val="00006CAE"/>
    <w:rsid w:val="00006DC7"/>
    <w:rsid w:val="00006E4F"/>
    <w:rsid w:val="00007100"/>
    <w:rsid w:val="000077A3"/>
    <w:rsid w:val="00007A69"/>
    <w:rsid w:val="00007ABC"/>
    <w:rsid w:val="00007D15"/>
    <w:rsid w:val="00007D1B"/>
    <w:rsid w:val="00007DC9"/>
    <w:rsid w:val="0001006F"/>
    <w:rsid w:val="000101ED"/>
    <w:rsid w:val="00010397"/>
    <w:rsid w:val="000103A7"/>
    <w:rsid w:val="000109C8"/>
    <w:rsid w:val="00010BE6"/>
    <w:rsid w:val="00010F03"/>
    <w:rsid w:val="000111D6"/>
    <w:rsid w:val="000112FD"/>
    <w:rsid w:val="000119C0"/>
    <w:rsid w:val="00011A15"/>
    <w:rsid w:val="00011F89"/>
    <w:rsid w:val="00012114"/>
    <w:rsid w:val="000128A2"/>
    <w:rsid w:val="000129A0"/>
    <w:rsid w:val="00012EA1"/>
    <w:rsid w:val="00012EA8"/>
    <w:rsid w:val="00012FF6"/>
    <w:rsid w:val="0001302F"/>
    <w:rsid w:val="0001318A"/>
    <w:rsid w:val="00013A3B"/>
    <w:rsid w:val="00013D7F"/>
    <w:rsid w:val="000140EA"/>
    <w:rsid w:val="00014315"/>
    <w:rsid w:val="00014496"/>
    <w:rsid w:val="00014523"/>
    <w:rsid w:val="00014766"/>
    <w:rsid w:val="00014CDE"/>
    <w:rsid w:val="00014D96"/>
    <w:rsid w:val="00014F84"/>
    <w:rsid w:val="00014F92"/>
    <w:rsid w:val="0001540C"/>
    <w:rsid w:val="000158FA"/>
    <w:rsid w:val="00015B6F"/>
    <w:rsid w:val="00015CA5"/>
    <w:rsid w:val="00015CEE"/>
    <w:rsid w:val="00015D34"/>
    <w:rsid w:val="00015EB6"/>
    <w:rsid w:val="000161CD"/>
    <w:rsid w:val="00016247"/>
    <w:rsid w:val="000163B3"/>
    <w:rsid w:val="00016741"/>
    <w:rsid w:val="0001718D"/>
    <w:rsid w:val="0001769F"/>
    <w:rsid w:val="00017F4A"/>
    <w:rsid w:val="000202B0"/>
    <w:rsid w:val="0002036C"/>
    <w:rsid w:val="00020DCE"/>
    <w:rsid w:val="00020FF3"/>
    <w:rsid w:val="00021095"/>
    <w:rsid w:val="00021101"/>
    <w:rsid w:val="00021386"/>
    <w:rsid w:val="00021681"/>
    <w:rsid w:val="0002248E"/>
    <w:rsid w:val="0002282E"/>
    <w:rsid w:val="00022A27"/>
    <w:rsid w:val="00022D45"/>
    <w:rsid w:val="00022DA1"/>
    <w:rsid w:val="00022F68"/>
    <w:rsid w:val="00022F84"/>
    <w:rsid w:val="00022F87"/>
    <w:rsid w:val="00022FF4"/>
    <w:rsid w:val="00023537"/>
    <w:rsid w:val="0002445F"/>
    <w:rsid w:val="000244AD"/>
    <w:rsid w:val="00024A54"/>
    <w:rsid w:val="00025049"/>
    <w:rsid w:val="000253D9"/>
    <w:rsid w:val="00025490"/>
    <w:rsid w:val="000256DB"/>
    <w:rsid w:val="000258A0"/>
    <w:rsid w:val="00025B71"/>
    <w:rsid w:val="00025C97"/>
    <w:rsid w:val="00025DC4"/>
    <w:rsid w:val="00025F50"/>
    <w:rsid w:val="00026125"/>
    <w:rsid w:val="000265CB"/>
    <w:rsid w:val="000265F1"/>
    <w:rsid w:val="00026ECD"/>
    <w:rsid w:val="000273F3"/>
    <w:rsid w:val="00027599"/>
    <w:rsid w:val="00027643"/>
    <w:rsid w:val="00027AFF"/>
    <w:rsid w:val="00027E0B"/>
    <w:rsid w:val="00027E47"/>
    <w:rsid w:val="0003023F"/>
    <w:rsid w:val="00030434"/>
    <w:rsid w:val="00030901"/>
    <w:rsid w:val="00030FED"/>
    <w:rsid w:val="0003101D"/>
    <w:rsid w:val="0003120F"/>
    <w:rsid w:val="00031255"/>
    <w:rsid w:val="000316AF"/>
    <w:rsid w:val="00031A12"/>
    <w:rsid w:val="00031DA8"/>
    <w:rsid w:val="00031F7C"/>
    <w:rsid w:val="00032580"/>
    <w:rsid w:val="000327CB"/>
    <w:rsid w:val="00032988"/>
    <w:rsid w:val="000331DB"/>
    <w:rsid w:val="0003358F"/>
    <w:rsid w:val="0003387F"/>
    <w:rsid w:val="0003393F"/>
    <w:rsid w:val="00033C20"/>
    <w:rsid w:val="00034088"/>
    <w:rsid w:val="000340F3"/>
    <w:rsid w:val="000342EB"/>
    <w:rsid w:val="000343AC"/>
    <w:rsid w:val="0003469E"/>
    <w:rsid w:val="00034CEA"/>
    <w:rsid w:val="00034DF8"/>
    <w:rsid w:val="00035148"/>
    <w:rsid w:val="0003534A"/>
    <w:rsid w:val="00035F9A"/>
    <w:rsid w:val="0003647B"/>
    <w:rsid w:val="000366C8"/>
    <w:rsid w:val="00036F2A"/>
    <w:rsid w:val="00036F53"/>
    <w:rsid w:val="00036F57"/>
    <w:rsid w:val="00036FF8"/>
    <w:rsid w:val="0003715D"/>
    <w:rsid w:val="00037DEE"/>
    <w:rsid w:val="00037EE7"/>
    <w:rsid w:val="0004000C"/>
    <w:rsid w:val="0004002A"/>
    <w:rsid w:val="0004014E"/>
    <w:rsid w:val="00040175"/>
    <w:rsid w:val="00040289"/>
    <w:rsid w:val="00040577"/>
    <w:rsid w:val="00040BA6"/>
    <w:rsid w:val="00040D8D"/>
    <w:rsid w:val="000413A2"/>
    <w:rsid w:val="0004187B"/>
    <w:rsid w:val="00041A91"/>
    <w:rsid w:val="00041EA8"/>
    <w:rsid w:val="00042894"/>
    <w:rsid w:val="00042C98"/>
    <w:rsid w:val="00042DE0"/>
    <w:rsid w:val="00042F94"/>
    <w:rsid w:val="000430C3"/>
    <w:rsid w:val="000435B5"/>
    <w:rsid w:val="00043E72"/>
    <w:rsid w:val="00043EDA"/>
    <w:rsid w:val="00043FE0"/>
    <w:rsid w:val="0004424E"/>
    <w:rsid w:val="00044282"/>
    <w:rsid w:val="00044296"/>
    <w:rsid w:val="0004459A"/>
    <w:rsid w:val="00044DB7"/>
    <w:rsid w:val="0004502A"/>
    <w:rsid w:val="00045041"/>
    <w:rsid w:val="000451A8"/>
    <w:rsid w:val="0004534A"/>
    <w:rsid w:val="000453B0"/>
    <w:rsid w:val="000456AC"/>
    <w:rsid w:val="00045E7B"/>
    <w:rsid w:val="00045E87"/>
    <w:rsid w:val="00046003"/>
    <w:rsid w:val="00046042"/>
    <w:rsid w:val="00046350"/>
    <w:rsid w:val="00046603"/>
    <w:rsid w:val="00046652"/>
    <w:rsid w:val="00046978"/>
    <w:rsid w:val="00046B09"/>
    <w:rsid w:val="00046EC8"/>
    <w:rsid w:val="00046F72"/>
    <w:rsid w:val="000471F2"/>
    <w:rsid w:val="00047706"/>
    <w:rsid w:val="000479A2"/>
    <w:rsid w:val="00047AB5"/>
    <w:rsid w:val="00047B9D"/>
    <w:rsid w:val="00047C88"/>
    <w:rsid w:val="00047D0A"/>
    <w:rsid w:val="00047EF7"/>
    <w:rsid w:val="00047F58"/>
    <w:rsid w:val="00050255"/>
    <w:rsid w:val="000506C8"/>
    <w:rsid w:val="000506D1"/>
    <w:rsid w:val="00050BA1"/>
    <w:rsid w:val="00050DB8"/>
    <w:rsid w:val="00051024"/>
    <w:rsid w:val="000513AC"/>
    <w:rsid w:val="000513CE"/>
    <w:rsid w:val="000514C6"/>
    <w:rsid w:val="00051C3D"/>
    <w:rsid w:val="00051CD1"/>
    <w:rsid w:val="0005232A"/>
    <w:rsid w:val="0005244E"/>
    <w:rsid w:val="0005277C"/>
    <w:rsid w:val="00052824"/>
    <w:rsid w:val="00052DA9"/>
    <w:rsid w:val="000530F8"/>
    <w:rsid w:val="0005322B"/>
    <w:rsid w:val="00053794"/>
    <w:rsid w:val="00053A16"/>
    <w:rsid w:val="00053FF3"/>
    <w:rsid w:val="00054055"/>
    <w:rsid w:val="0005519C"/>
    <w:rsid w:val="00055992"/>
    <w:rsid w:val="00055A56"/>
    <w:rsid w:val="00055A60"/>
    <w:rsid w:val="00055ABC"/>
    <w:rsid w:val="00055AE5"/>
    <w:rsid w:val="00055B0F"/>
    <w:rsid w:val="00055C66"/>
    <w:rsid w:val="00055D17"/>
    <w:rsid w:val="00055FF3"/>
    <w:rsid w:val="0005628F"/>
    <w:rsid w:val="000562BD"/>
    <w:rsid w:val="00056370"/>
    <w:rsid w:val="00056C33"/>
    <w:rsid w:val="00056D82"/>
    <w:rsid w:val="00056DA8"/>
    <w:rsid w:val="000573D9"/>
    <w:rsid w:val="00057A90"/>
    <w:rsid w:val="00057B2E"/>
    <w:rsid w:val="0006005B"/>
    <w:rsid w:val="0006028D"/>
    <w:rsid w:val="0006076B"/>
    <w:rsid w:val="00061030"/>
    <w:rsid w:val="000610EC"/>
    <w:rsid w:val="000615F0"/>
    <w:rsid w:val="000617C2"/>
    <w:rsid w:val="00061936"/>
    <w:rsid w:val="00061AD1"/>
    <w:rsid w:val="00061B1C"/>
    <w:rsid w:val="000627F2"/>
    <w:rsid w:val="00062B55"/>
    <w:rsid w:val="00062C53"/>
    <w:rsid w:val="00062EDC"/>
    <w:rsid w:val="00062FD8"/>
    <w:rsid w:val="0006336E"/>
    <w:rsid w:val="00063798"/>
    <w:rsid w:val="00063811"/>
    <w:rsid w:val="00063B45"/>
    <w:rsid w:val="00063B82"/>
    <w:rsid w:val="00063C11"/>
    <w:rsid w:val="00063E9D"/>
    <w:rsid w:val="00063ED8"/>
    <w:rsid w:val="00064392"/>
    <w:rsid w:val="0006471D"/>
    <w:rsid w:val="00064809"/>
    <w:rsid w:val="00064E14"/>
    <w:rsid w:val="0006509E"/>
    <w:rsid w:val="000651AD"/>
    <w:rsid w:val="000652DD"/>
    <w:rsid w:val="0006543F"/>
    <w:rsid w:val="000654D4"/>
    <w:rsid w:val="000659FB"/>
    <w:rsid w:val="00065EFA"/>
    <w:rsid w:val="000661EB"/>
    <w:rsid w:val="00066228"/>
    <w:rsid w:val="000662A5"/>
    <w:rsid w:val="000664BD"/>
    <w:rsid w:val="000666A2"/>
    <w:rsid w:val="00066904"/>
    <w:rsid w:val="00067221"/>
    <w:rsid w:val="00067444"/>
    <w:rsid w:val="00067B45"/>
    <w:rsid w:val="00067F54"/>
    <w:rsid w:val="00067FE9"/>
    <w:rsid w:val="0007003D"/>
    <w:rsid w:val="000701E9"/>
    <w:rsid w:val="000705C7"/>
    <w:rsid w:val="00070A2A"/>
    <w:rsid w:val="00070E8D"/>
    <w:rsid w:val="0007141D"/>
    <w:rsid w:val="00071637"/>
    <w:rsid w:val="000719F2"/>
    <w:rsid w:val="000720EB"/>
    <w:rsid w:val="000724F1"/>
    <w:rsid w:val="000726EC"/>
    <w:rsid w:val="00072FC7"/>
    <w:rsid w:val="0007314A"/>
    <w:rsid w:val="00073328"/>
    <w:rsid w:val="0007373E"/>
    <w:rsid w:val="000738FD"/>
    <w:rsid w:val="00073E36"/>
    <w:rsid w:val="00074823"/>
    <w:rsid w:val="00074C35"/>
    <w:rsid w:val="00074C74"/>
    <w:rsid w:val="00074DD8"/>
    <w:rsid w:val="000751F6"/>
    <w:rsid w:val="00075C43"/>
    <w:rsid w:val="00075D52"/>
    <w:rsid w:val="00076024"/>
    <w:rsid w:val="000761D0"/>
    <w:rsid w:val="000766E5"/>
    <w:rsid w:val="00076F15"/>
    <w:rsid w:val="00077014"/>
    <w:rsid w:val="00077301"/>
    <w:rsid w:val="00077391"/>
    <w:rsid w:val="0007767C"/>
    <w:rsid w:val="00077A00"/>
    <w:rsid w:val="00077BB6"/>
    <w:rsid w:val="00077C1B"/>
    <w:rsid w:val="00080603"/>
    <w:rsid w:val="00080A95"/>
    <w:rsid w:val="00080C06"/>
    <w:rsid w:val="00080C93"/>
    <w:rsid w:val="00080D1B"/>
    <w:rsid w:val="00080DB1"/>
    <w:rsid w:val="000813E9"/>
    <w:rsid w:val="0008155A"/>
    <w:rsid w:val="00081E57"/>
    <w:rsid w:val="0008209F"/>
    <w:rsid w:val="000820A4"/>
    <w:rsid w:val="000820B3"/>
    <w:rsid w:val="000820F6"/>
    <w:rsid w:val="000824CC"/>
    <w:rsid w:val="00082D2B"/>
    <w:rsid w:val="000836BA"/>
    <w:rsid w:val="00083C85"/>
    <w:rsid w:val="00083D01"/>
    <w:rsid w:val="000843AD"/>
    <w:rsid w:val="0008468A"/>
    <w:rsid w:val="00084756"/>
    <w:rsid w:val="00084AC8"/>
    <w:rsid w:val="00085015"/>
    <w:rsid w:val="0008516D"/>
    <w:rsid w:val="00085ADD"/>
    <w:rsid w:val="00085E1B"/>
    <w:rsid w:val="00085E59"/>
    <w:rsid w:val="00085E95"/>
    <w:rsid w:val="00086260"/>
    <w:rsid w:val="00086900"/>
    <w:rsid w:val="00086A5C"/>
    <w:rsid w:val="00086CEC"/>
    <w:rsid w:val="00087280"/>
    <w:rsid w:val="0008732D"/>
    <w:rsid w:val="000873AC"/>
    <w:rsid w:val="000875F7"/>
    <w:rsid w:val="000876E9"/>
    <w:rsid w:val="00087759"/>
    <w:rsid w:val="00087B61"/>
    <w:rsid w:val="00087BCD"/>
    <w:rsid w:val="00087C0A"/>
    <w:rsid w:val="00087E0B"/>
    <w:rsid w:val="00090136"/>
    <w:rsid w:val="0009020B"/>
    <w:rsid w:val="000906F6"/>
    <w:rsid w:val="000906FE"/>
    <w:rsid w:val="000907E1"/>
    <w:rsid w:val="00090A33"/>
    <w:rsid w:val="00090C86"/>
    <w:rsid w:val="00090D1B"/>
    <w:rsid w:val="00090F9B"/>
    <w:rsid w:val="00091270"/>
    <w:rsid w:val="00091394"/>
    <w:rsid w:val="00091479"/>
    <w:rsid w:val="00091650"/>
    <w:rsid w:val="00091863"/>
    <w:rsid w:val="00091B57"/>
    <w:rsid w:val="00092DA3"/>
    <w:rsid w:val="00092E1B"/>
    <w:rsid w:val="00092E7F"/>
    <w:rsid w:val="0009365D"/>
    <w:rsid w:val="00093672"/>
    <w:rsid w:val="00093860"/>
    <w:rsid w:val="000938A6"/>
    <w:rsid w:val="000939CE"/>
    <w:rsid w:val="0009439F"/>
    <w:rsid w:val="000945EA"/>
    <w:rsid w:val="00094EF1"/>
    <w:rsid w:val="00095356"/>
    <w:rsid w:val="00095700"/>
    <w:rsid w:val="000958EF"/>
    <w:rsid w:val="00095DFF"/>
    <w:rsid w:val="00096698"/>
    <w:rsid w:val="0009678B"/>
    <w:rsid w:val="00096807"/>
    <w:rsid w:val="00096940"/>
    <w:rsid w:val="000969B7"/>
    <w:rsid w:val="00096B9C"/>
    <w:rsid w:val="00096C9B"/>
    <w:rsid w:val="00096D1F"/>
    <w:rsid w:val="00096D2A"/>
    <w:rsid w:val="000971D5"/>
    <w:rsid w:val="00097663"/>
    <w:rsid w:val="00097BC3"/>
    <w:rsid w:val="000A07AD"/>
    <w:rsid w:val="000A084D"/>
    <w:rsid w:val="000A0B6D"/>
    <w:rsid w:val="000A0DB3"/>
    <w:rsid w:val="000A0E65"/>
    <w:rsid w:val="000A14D6"/>
    <w:rsid w:val="000A1749"/>
    <w:rsid w:val="000A18C4"/>
    <w:rsid w:val="000A1A49"/>
    <w:rsid w:val="000A1B2F"/>
    <w:rsid w:val="000A1C6B"/>
    <w:rsid w:val="000A1FEB"/>
    <w:rsid w:val="000A230A"/>
    <w:rsid w:val="000A230E"/>
    <w:rsid w:val="000A2336"/>
    <w:rsid w:val="000A2703"/>
    <w:rsid w:val="000A2B91"/>
    <w:rsid w:val="000A3755"/>
    <w:rsid w:val="000A3804"/>
    <w:rsid w:val="000A395C"/>
    <w:rsid w:val="000A3C3D"/>
    <w:rsid w:val="000A404D"/>
    <w:rsid w:val="000A44F2"/>
    <w:rsid w:val="000A49AE"/>
    <w:rsid w:val="000A5059"/>
    <w:rsid w:val="000A549F"/>
    <w:rsid w:val="000A5518"/>
    <w:rsid w:val="000A5561"/>
    <w:rsid w:val="000A5666"/>
    <w:rsid w:val="000A5A6A"/>
    <w:rsid w:val="000A5E16"/>
    <w:rsid w:val="000A63A3"/>
    <w:rsid w:val="000A676D"/>
    <w:rsid w:val="000A6833"/>
    <w:rsid w:val="000A692D"/>
    <w:rsid w:val="000A6C13"/>
    <w:rsid w:val="000A6CB9"/>
    <w:rsid w:val="000A6D69"/>
    <w:rsid w:val="000A7197"/>
    <w:rsid w:val="000A73D4"/>
    <w:rsid w:val="000A7BAD"/>
    <w:rsid w:val="000A7CA0"/>
    <w:rsid w:val="000A7ED9"/>
    <w:rsid w:val="000B0F42"/>
    <w:rsid w:val="000B14F7"/>
    <w:rsid w:val="000B171C"/>
    <w:rsid w:val="000B1C14"/>
    <w:rsid w:val="000B1E15"/>
    <w:rsid w:val="000B1ECC"/>
    <w:rsid w:val="000B2593"/>
    <w:rsid w:val="000B269A"/>
    <w:rsid w:val="000B2E97"/>
    <w:rsid w:val="000B323E"/>
    <w:rsid w:val="000B34F6"/>
    <w:rsid w:val="000B365A"/>
    <w:rsid w:val="000B3816"/>
    <w:rsid w:val="000B419D"/>
    <w:rsid w:val="000B4350"/>
    <w:rsid w:val="000B4A26"/>
    <w:rsid w:val="000B4DFD"/>
    <w:rsid w:val="000B4ED5"/>
    <w:rsid w:val="000B4F11"/>
    <w:rsid w:val="000B4F38"/>
    <w:rsid w:val="000B533B"/>
    <w:rsid w:val="000B5807"/>
    <w:rsid w:val="000B5A09"/>
    <w:rsid w:val="000B5D3F"/>
    <w:rsid w:val="000B5E3A"/>
    <w:rsid w:val="000B5EA6"/>
    <w:rsid w:val="000B66DF"/>
    <w:rsid w:val="000B6A1E"/>
    <w:rsid w:val="000B6A41"/>
    <w:rsid w:val="000B7E87"/>
    <w:rsid w:val="000C01DB"/>
    <w:rsid w:val="000C01EC"/>
    <w:rsid w:val="000C028A"/>
    <w:rsid w:val="000C0488"/>
    <w:rsid w:val="000C0D81"/>
    <w:rsid w:val="000C0DE0"/>
    <w:rsid w:val="000C1215"/>
    <w:rsid w:val="000C1426"/>
    <w:rsid w:val="000C15C0"/>
    <w:rsid w:val="000C199D"/>
    <w:rsid w:val="000C2309"/>
    <w:rsid w:val="000C2501"/>
    <w:rsid w:val="000C2607"/>
    <w:rsid w:val="000C2B08"/>
    <w:rsid w:val="000C3003"/>
    <w:rsid w:val="000C324D"/>
    <w:rsid w:val="000C337A"/>
    <w:rsid w:val="000C3984"/>
    <w:rsid w:val="000C3D4E"/>
    <w:rsid w:val="000C416C"/>
    <w:rsid w:val="000C44FF"/>
    <w:rsid w:val="000C46AA"/>
    <w:rsid w:val="000C46F3"/>
    <w:rsid w:val="000C4AB7"/>
    <w:rsid w:val="000C4C5F"/>
    <w:rsid w:val="000C4D52"/>
    <w:rsid w:val="000C516B"/>
    <w:rsid w:val="000C5275"/>
    <w:rsid w:val="000C52B6"/>
    <w:rsid w:val="000C558C"/>
    <w:rsid w:val="000C55A7"/>
    <w:rsid w:val="000C69A1"/>
    <w:rsid w:val="000C6A6A"/>
    <w:rsid w:val="000C710A"/>
    <w:rsid w:val="000C714A"/>
    <w:rsid w:val="000C794E"/>
    <w:rsid w:val="000C7F16"/>
    <w:rsid w:val="000C7FB6"/>
    <w:rsid w:val="000D0244"/>
    <w:rsid w:val="000D067E"/>
    <w:rsid w:val="000D081B"/>
    <w:rsid w:val="000D0CA7"/>
    <w:rsid w:val="000D1279"/>
    <w:rsid w:val="000D20FB"/>
    <w:rsid w:val="000D2256"/>
    <w:rsid w:val="000D23DC"/>
    <w:rsid w:val="000D255C"/>
    <w:rsid w:val="000D2755"/>
    <w:rsid w:val="000D2E78"/>
    <w:rsid w:val="000D317E"/>
    <w:rsid w:val="000D3365"/>
    <w:rsid w:val="000D346A"/>
    <w:rsid w:val="000D35A2"/>
    <w:rsid w:val="000D495F"/>
    <w:rsid w:val="000D4A73"/>
    <w:rsid w:val="000D4C36"/>
    <w:rsid w:val="000D4EDF"/>
    <w:rsid w:val="000D5047"/>
    <w:rsid w:val="000D592F"/>
    <w:rsid w:val="000D684B"/>
    <w:rsid w:val="000D69A0"/>
    <w:rsid w:val="000D69FA"/>
    <w:rsid w:val="000D6B5E"/>
    <w:rsid w:val="000D6D5A"/>
    <w:rsid w:val="000D6DCD"/>
    <w:rsid w:val="000D6E3D"/>
    <w:rsid w:val="000D72E4"/>
    <w:rsid w:val="000D7420"/>
    <w:rsid w:val="000D7716"/>
    <w:rsid w:val="000D7A6B"/>
    <w:rsid w:val="000E02B3"/>
    <w:rsid w:val="000E0872"/>
    <w:rsid w:val="000E0A23"/>
    <w:rsid w:val="000E0B5D"/>
    <w:rsid w:val="000E0E2A"/>
    <w:rsid w:val="000E101B"/>
    <w:rsid w:val="000E227C"/>
    <w:rsid w:val="000E22A7"/>
    <w:rsid w:val="000E23A9"/>
    <w:rsid w:val="000E2CCD"/>
    <w:rsid w:val="000E3298"/>
    <w:rsid w:val="000E32B2"/>
    <w:rsid w:val="000E3FB7"/>
    <w:rsid w:val="000E4026"/>
    <w:rsid w:val="000E41CF"/>
    <w:rsid w:val="000E488E"/>
    <w:rsid w:val="000E4897"/>
    <w:rsid w:val="000E4EEF"/>
    <w:rsid w:val="000E501A"/>
    <w:rsid w:val="000E5191"/>
    <w:rsid w:val="000E51E7"/>
    <w:rsid w:val="000E56A8"/>
    <w:rsid w:val="000E58D0"/>
    <w:rsid w:val="000E5A31"/>
    <w:rsid w:val="000E5A73"/>
    <w:rsid w:val="000E6617"/>
    <w:rsid w:val="000E667B"/>
    <w:rsid w:val="000E677F"/>
    <w:rsid w:val="000E6875"/>
    <w:rsid w:val="000E73A7"/>
    <w:rsid w:val="000E7571"/>
    <w:rsid w:val="000E7865"/>
    <w:rsid w:val="000E7D4B"/>
    <w:rsid w:val="000F0099"/>
    <w:rsid w:val="000F02BD"/>
    <w:rsid w:val="000F0564"/>
    <w:rsid w:val="000F0809"/>
    <w:rsid w:val="000F0B5B"/>
    <w:rsid w:val="000F1078"/>
    <w:rsid w:val="000F1098"/>
    <w:rsid w:val="000F1522"/>
    <w:rsid w:val="000F1AC2"/>
    <w:rsid w:val="000F1AC9"/>
    <w:rsid w:val="000F1D94"/>
    <w:rsid w:val="000F233A"/>
    <w:rsid w:val="000F249D"/>
    <w:rsid w:val="000F24E4"/>
    <w:rsid w:val="000F26FA"/>
    <w:rsid w:val="000F2C5A"/>
    <w:rsid w:val="000F31FC"/>
    <w:rsid w:val="000F3832"/>
    <w:rsid w:val="000F39FE"/>
    <w:rsid w:val="000F3EAE"/>
    <w:rsid w:val="000F4482"/>
    <w:rsid w:val="000F4536"/>
    <w:rsid w:val="000F4A53"/>
    <w:rsid w:val="000F4C29"/>
    <w:rsid w:val="000F4C56"/>
    <w:rsid w:val="000F4EDF"/>
    <w:rsid w:val="000F570A"/>
    <w:rsid w:val="000F5A57"/>
    <w:rsid w:val="000F626F"/>
    <w:rsid w:val="000F6555"/>
    <w:rsid w:val="000F6893"/>
    <w:rsid w:val="000F6D56"/>
    <w:rsid w:val="000F6DE3"/>
    <w:rsid w:val="000F7035"/>
    <w:rsid w:val="000F77A0"/>
    <w:rsid w:val="000F7A79"/>
    <w:rsid w:val="000F7AA0"/>
    <w:rsid w:val="000F7B74"/>
    <w:rsid w:val="000F7BD8"/>
    <w:rsid w:val="000F7C42"/>
    <w:rsid w:val="000F7C77"/>
    <w:rsid w:val="000F7FD8"/>
    <w:rsid w:val="00100199"/>
    <w:rsid w:val="001001D9"/>
    <w:rsid w:val="00100780"/>
    <w:rsid w:val="00100B32"/>
    <w:rsid w:val="00100CE8"/>
    <w:rsid w:val="0010114C"/>
    <w:rsid w:val="001015A0"/>
    <w:rsid w:val="00101880"/>
    <w:rsid w:val="00101E4A"/>
    <w:rsid w:val="001027DC"/>
    <w:rsid w:val="00102E83"/>
    <w:rsid w:val="00103D2B"/>
    <w:rsid w:val="00103D93"/>
    <w:rsid w:val="00104031"/>
    <w:rsid w:val="001040EA"/>
    <w:rsid w:val="001044C5"/>
    <w:rsid w:val="001046A1"/>
    <w:rsid w:val="00104C31"/>
    <w:rsid w:val="00105064"/>
    <w:rsid w:val="00105A19"/>
    <w:rsid w:val="00105CB2"/>
    <w:rsid w:val="0010660C"/>
    <w:rsid w:val="00106985"/>
    <w:rsid w:val="00106AE5"/>
    <w:rsid w:val="00106DE7"/>
    <w:rsid w:val="00107184"/>
    <w:rsid w:val="001073A7"/>
    <w:rsid w:val="001074E4"/>
    <w:rsid w:val="00107995"/>
    <w:rsid w:val="00107DED"/>
    <w:rsid w:val="00107E77"/>
    <w:rsid w:val="0011037E"/>
    <w:rsid w:val="001103BF"/>
    <w:rsid w:val="001103E9"/>
    <w:rsid w:val="0011068A"/>
    <w:rsid w:val="00110D12"/>
    <w:rsid w:val="00110D64"/>
    <w:rsid w:val="00110E4A"/>
    <w:rsid w:val="0011103A"/>
    <w:rsid w:val="001110EE"/>
    <w:rsid w:val="00111B86"/>
    <w:rsid w:val="00111D19"/>
    <w:rsid w:val="0011229E"/>
    <w:rsid w:val="00112596"/>
    <w:rsid w:val="001125D4"/>
    <w:rsid w:val="0011266E"/>
    <w:rsid w:val="00112F10"/>
    <w:rsid w:val="00113780"/>
    <w:rsid w:val="00113833"/>
    <w:rsid w:val="001138BD"/>
    <w:rsid w:val="00113928"/>
    <w:rsid w:val="00113AA7"/>
    <w:rsid w:val="00113C78"/>
    <w:rsid w:val="00113D9E"/>
    <w:rsid w:val="0011413D"/>
    <w:rsid w:val="001141A2"/>
    <w:rsid w:val="00114464"/>
    <w:rsid w:val="0011465C"/>
    <w:rsid w:val="00114DE2"/>
    <w:rsid w:val="001150A8"/>
    <w:rsid w:val="001152B6"/>
    <w:rsid w:val="00115308"/>
    <w:rsid w:val="0011544E"/>
    <w:rsid w:val="001156BF"/>
    <w:rsid w:val="001157F2"/>
    <w:rsid w:val="0011582C"/>
    <w:rsid w:val="00115947"/>
    <w:rsid w:val="00115ED5"/>
    <w:rsid w:val="0011614D"/>
    <w:rsid w:val="00116228"/>
    <w:rsid w:val="00116BC8"/>
    <w:rsid w:val="00116D4D"/>
    <w:rsid w:val="00117279"/>
    <w:rsid w:val="001177A6"/>
    <w:rsid w:val="00117E61"/>
    <w:rsid w:val="00117F1A"/>
    <w:rsid w:val="001202B9"/>
    <w:rsid w:val="001202DB"/>
    <w:rsid w:val="00120515"/>
    <w:rsid w:val="001205D2"/>
    <w:rsid w:val="00120BE6"/>
    <w:rsid w:val="001213D7"/>
    <w:rsid w:val="001214EC"/>
    <w:rsid w:val="00121742"/>
    <w:rsid w:val="00121DC1"/>
    <w:rsid w:val="00121EF2"/>
    <w:rsid w:val="0012233A"/>
    <w:rsid w:val="00122595"/>
    <w:rsid w:val="0012295C"/>
    <w:rsid w:val="00122B5E"/>
    <w:rsid w:val="00122D71"/>
    <w:rsid w:val="00122EBF"/>
    <w:rsid w:val="001232D8"/>
    <w:rsid w:val="001235BB"/>
    <w:rsid w:val="0012372F"/>
    <w:rsid w:val="00123810"/>
    <w:rsid w:val="00123911"/>
    <w:rsid w:val="00123CA7"/>
    <w:rsid w:val="00123E7B"/>
    <w:rsid w:val="001241A0"/>
    <w:rsid w:val="0012454F"/>
    <w:rsid w:val="00124740"/>
    <w:rsid w:val="00124773"/>
    <w:rsid w:val="00124780"/>
    <w:rsid w:val="001248DD"/>
    <w:rsid w:val="001249F2"/>
    <w:rsid w:val="00124DB0"/>
    <w:rsid w:val="001250EC"/>
    <w:rsid w:val="00125156"/>
    <w:rsid w:val="00125357"/>
    <w:rsid w:val="001255A8"/>
    <w:rsid w:val="00125E9B"/>
    <w:rsid w:val="00125F7E"/>
    <w:rsid w:val="0012644C"/>
    <w:rsid w:val="001270A4"/>
    <w:rsid w:val="001271C7"/>
    <w:rsid w:val="00127A54"/>
    <w:rsid w:val="00127B79"/>
    <w:rsid w:val="00127DF7"/>
    <w:rsid w:val="00127E2D"/>
    <w:rsid w:val="00130637"/>
    <w:rsid w:val="0013081B"/>
    <w:rsid w:val="00130A68"/>
    <w:rsid w:val="00130E10"/>
    <w:rsid w:val="00130E40"/>
    <w:rsid w:val="00131133"/>
    <w:rsid w:val="0013153F"/>
    <w:rsid w:val="0013156E"/>
    <w:rsid w:val="00131574"/>
    <w:rsid w:val="00131AC9"/>
    <w:rsid w:val="001323BF"/>
    <w:rsid w:val="00132BDA"/>
    <w:rsid w:val="00132CE5"/>
    <w:rsid w:val="00132E6C"/>
    <w:rsid w:val="00132FE8"/>
    <w:rsid w:val="00133031"/>
    <w:rsid w:val="00133544"/>
    <w:rsid w:val="001337FE"/>
    <w:rsid w:val="001341FA"/>
    <w:rsid w:val="00134596"/>
    <w:rsid w:val="00134AD0"/>
    <w:rsid w:val="00135679"/>
    <w:rsid w:val="00136218"/>
    <w:rsid w:val="00136287"/>
    <w:rsid w:val="00136357"/>
    <w:rsid w:val="00136EC8"/>
    <w:rsid w:val="001371E0"/>
    <w:rsid w:val="001374FD"/>
    <w:rsid w:val="00137A36"/>
    <w:rsid w:val="00137E1C"/>
    <w:rsid w:val="001403DF"/>
    <w:rsid w:val="00140D80"/>
    <w:rsid w:val="00140ED3"/>
    <w:rsid w:val="001415D4"/>
    <w:rsid w:val="00141885"/>
    <w:rsid w:val="0014193C"/>
    <w:rsid w:val="00141D1D"/>
    <w:rsid w:val="00141E6E"/>
    <w:rsid w:val="00141EA1"/>
    <w:rsid w:val="00142770"/>
    <w:rsid w:val="001428F5"/>
    <w:rsid w:val="00142F24"/>
    <w:rsid w:val="00142F3B"/>
    <w:rsid w:val="00143530"/>
    <w:rsid w:val="001437F1"/>
    <w:rsid w:val="00143826"/>
    <w:rsid w:val="001438AB"/>
    <w:rsid w:val="00143E7F"/>
    <w:rsid w:val="00143F8E"/>
    <w:rsid w:val="0014415F"/>
    <w:rsid w:val="00144388"/>
    <w:rsid w:val="00144861"/>
    <w:rsid w:val="00144C06"/>
    <w:rsid w:val="00144FE5"/>
    <w:rsid w:val="001455B7"/>
    <w:rsid w:val="001455DB"/>
    <w:rsid w:val="001456AE"/>
    <w:rsid w:val="001458DA"/>
    <w:rsid w:val="001460C8"/>
    <w:rsid w:val="001461E5"/>
    <w:rsid w:val="0014643A"/>
    <w:rsid w:val="00146A00"/>
    <w:rsid w:val="00146BE6"/>
    <w:rsid w:val="00146E8B"/>
    <w:rsid w:val="001473CF"/>
    <w:rsid w:val="00147645"/>
    <w:rsid w:val="00147EEA"/>
    <w:rsid w:val="00147F07"/>
    <w:rsid w:val="0015058E"/>
    <w:rsid w:val="00150CFE"/>
    <w:rsid w:val="00151069"/>
    <w:rsid w:val="00151081"/>
    <w:rsid w:val="001515CE"/>
    <w:rsid w:val="0015163F"/>
    <w:rsid w:val="00151E5F"/>
    <w:rsid w:val="001522DB"/>
    <w:rsid w:val="00152B25"/>
    <w:rsid w:val="0015348D"/>
    <w:rsid w:val="001536DE"/>
    <w:rsid w:val="001537F5"/>
    <w:rsid w:val="00153A8B"/>
    <w:rsid w:val="00153B05"/>
    <w:rsid w:val="00153EB5"/>
    <w:rsid w:val="00153FBB"/>
    <w:rsid w:val="00154046"/>
    <w:rsid w:val="0015437B"/>
    <w:rsid w:val="001543FD"/>
    <w:rsid w:val="0015464C"/>
    <w:rsid w:val="00154779"/>
    <w:rsid w:val="001549D1"/>
    <w:rsid w:val="00154A04"/>
    <w:rsid w:val="001552C3"/>
    <w:rsid w:val="0015535F"/>
    <w:rsid w:val="00155397"/>
    <w:rsid w:val="001556D6"/>
    <w:rsid w:val="00155886"/>
    <w:rsid w:val="00155B65"/>
    <w:rsid w:val="00155BB4"/>
    <w:rsid w:val="00156116"/>
    <w:rsid w:val="001561DB"/>
    <w:rsid w:val="001563E2"/>
    <w:rsid w:val="00156793"/>
    <w:rsid w:val="00156813"/>
    <w:rsid w:val="0015685C"/>
    <w:rsid w:val="00156A4C"/>
    <w:rsid w:val="00156D95"/>
    <w:rsid w:val="001572DA"/>
    <w:rsid w:val="001577E3"/>
    <w:rsid w:val="001577EE"/>
    <w:rsid w:val="00157884"/>
    <w:rsid w:val="00157935"/>
    <w:rsid w:val="001579E6"/>
    <w:rsid w:val="00157AA7"/>
    <w:rsid w:val="00157E82"/>
    <w:rsid w:val="00157FBF"/>
    <w:rsid w:val="001604F3"/>
    <w:rsid w:val="00160C8A"/>
    <w:rsid w:val="0016132D"/>
    <w:rsid w:val="00161627"/>
    <w:rsid w:val="001616D4"/>
    <w:rsid w:val="0016198C"/>
    <w:rsid w:val="00161E3F"/>
    <w:rsid w:val="00161E51"/>
    <w:rsid w:val="00161F5C"/>
    <w:rsid w:val="00161F95"/>
    <w:rsid w:val="0016200A"/>
    <w:rsid w:val="001621E4"/>
    <w:rsid w:val="001626B6"/>
    <w:rsid w:val="00162CB0"/>
    <w:rsid w:val="001630E1"/>
    <w:rsid w:val="001634CE"/>
    <w:rsid w:val="00163F70"/>
    <w:rsid w:val="001643A2"/>
    <w:rsid w:val="001646F8"/>
    <w:rsid w:val="00164AA4"/>
    <w:rsid w:val="00165B45"/>
    <w:rsid w:val="00165D50"/>
    <w:rsid w:val="00166038"/>
    <w:rsid w:val="0016609A"/>
    <w:rsid w:val="0016621B"/>
    <w:rsid w:val="00166AE5"/>
    <w:rsid w:val="00166B87"/>
    <w:rsid w:val="00166C19"/>
    <w:rsid w:val="00166C20"/>
    <w:rsid w:val="00166DBF"/>
    <w:rsid w:val="00166DEC"/>
    <w:rsid w:val="00167860"/>
    <w:rsid w:val="00167CEA"/>
    <w:rsid w:val="00167E49"/>
    <w:rsid w:val="00167E64"/>
    <w:rsid w:val="001707B4"/>
    <w:rsid w:val="001707B6"/>
    <w:rsid w:val="00170A2C"/>
    <w:rsid w:val="00170AD5"/>
    <w:rsid w:val="00170EA1"/>
    <w:rsid w:val="001718DF"/>
    <w:rsid w:val="00171CF9"/>
    <w:rsid w:val="00171EE5"/>
    <w:rsid w:val="00171F54"/>
    <w:rsid w:val="001723D8"/>
    <w:rsid w:val="001726F6"/>
    <w:rsid w:val="00172889"/>
    <w:rsid w:val="0017288D"/>
    <w:rsid w:val="00172BFB"/>
    <w:rsid w:val="00172D62"/>
    <w:rsid w:val="00172DF9"/>
    <w:rsid w:val="00173617"/>
    <w:rsid w:val="001740B8"/>
    <w:rsid w:val="0017410B"/>
    <w:rsid w:val="001743BF"/>
    <w:rsid w:val="001746A4"/>
    <w:rsid w:val="00174C2E"/>
    <w:rsid w:val="00175864"/>
    <w:rsid w:val="001759D4"/>
    <w:rsid w:val="00175F56"/>
    <w:rsid w:val="0017602C"/>
    <w:rsid w:val="001760DE"/>
    <w:rsid w:val="0017663F"/>
    <w:rsid w:val="00176737"/>
    <w:rsid w:val="00176BBC"/>
    <w:rsid w:val="00176D60"/>
    <w:rsid w:val="001773C8"/>
    <w:rsid w:val="00177414"/>
    <w:rsid w:val="0017759E"/>
    <w:rsid w:val="00177A42"/>
    <w:rsid w:val="00180002"/>
    <w:rsid w:val="00180021"/>
    <w:rsid w:val="0018002C"/>
    <w:rsid w:val="0018035E"/>
    <w:rsid w:val="0018063F"/>
    <w:rsid w:val="00180D43"/>
    <w:rsid w:val="00180F99"/>
    <w:rsid w:val="001816D3"/>
    <w:rsid w:val="001818F1"/>
    <w:rsid w:val="00181DB6"/>
    <w:rsid w:val="00181DF5"/>
    <w:rsid w:val="00182486"/>
    <w:rsid w:val="0018257E"/>
    <w:rsid w:val="00182C27"/>
    <w:rsid w:val="00182D12"/>
    <w:rsid w:val="00183032"/>
    <w:rsid w:val="00183A07"/>
    <w:rsid w:val="00183C83"/>
    <w:rsid w:val="00183CEC"/>
    <w:rsid w:val="00183D04"/>
    <w:rsid w:val="00183D94"/>
    <w:rsid w:val="00183EA8"/>
    <w:rsid w:val="00184324"/>
    <w:rsid w:val="0018469F"/>
    <w:rsid w:val="0018479F"/>
    <w:rsid w:val="00184CFB"/>
    <w:rsid w:val="00184E13"/>
    <w:rsid w:val="00184FB8"/>
    <w:rsid w:val="001855C9"/>
    <w:rsid w:val="001857CD"/>
    <w:rsid w:val="00185860"/>
    <w:rsid w:val="0018598B"/>
    <w:rsid w:val="001859A8"/>
    <w:rsid w:val="00185A82"/>
    <w:rsid w:val="00185AC6"/>
    <w:rsid w:val="00185DA4"/>
    <w:rsid w:val="00185E08"/>
    <w:rsid w:val="00185E72"/>
    <w:rsid w:val="0018626E"/>
    <w:rsid w:val="00186318"/>
    <w:rsid w:val="001865C9"/>
    <w:rsid w:val="0018664C"/>
    <w:rsid w:val="0018677F"/>
    <w:rsid w:val="00186943"/>
    <w:rsid w:val="00186AB0"/>
    <w:rsid w:val="00186D91"/>
    <w:rsid w:val="00186DAC"/>
    <w:rsid w:val="0018776A"/>
    <w:rsid w:val="00187C66"/>
    <w:rsid w:val="00190399"/>
    <w:rsid w:val="00190527"/>
    <w:rsid w:val="00190703"/>
    <w:rsid w:val="00190B30"/>
    <w:rsid w:val="00190F3B"/>
    <w:rsid w:val="001912B2"/>
    <w:rsid w:val="0019177A"/>
    <w:rsid w:val="00191928"/>
    <w:rsid w:val="00191958"/>
    <w:rsid w:val="00191973"/>
    <w:rsid w:val="001919F5"/>
    <w:rsid w:val="00191CF9"/>
    <w:rsid w:val="00191F20"/>
    <w:rsid w:val="001923F8"/>
    <w:rsid w:val="001927FB"/>
    <w:rsid w:val="00192991"/>
    <w:rsid w:val="00192EBD"/>
    <w:rsid w:val="001932C7"/>
    <w:rsid w:val="001932DD"/>
    <w:rsid w:val="00193734"/>
    <w:rsid w:val="001937B2"/>
    <w:rsid w:val="00193E0B"/>
    <w:rsid w:val="00193F6A"/>
    <w:rsid w:val="00193FCD"/>
    <w:rsid w:val="00194526"/>
    <w:rsid w:val="0019470A"/>
    <w:rsid w:val="001947CE"/>
    <w:rsid w:val="0019489F"/>
    <w:rsid w:val="0019513A"/>
    <w:rsid w:val="00195218"/>
    <w:rsid w:val="00195B6B"/>
    <w:rsid w:val="00195BEC"/>
    <w:rsid w:val="00195D8D"/>
    <w:rsid w:val="00195EE3"/>
    <w:rsid w:val="00196E42"/>
    <w:rsid w:val="0019733C"/>
    <w:rsid w:val="0019747D"/>
    <w:rsid w:val="001974B0"/>
    <w:rsid w:val="00197747"/>
    <w:rsid w:val="00197879"/>
    <w:rsid w:val="00197BBB"/>
    <w:rsid w:val="001A0792"/>
    <w:rsid w:val="001A0A3F"/>
    <w:rsid w:val="001A0CFE"/>
    <w:rsid w:val="001A0D13"/>
    <w:rsid w:val="001A0E72"/>
    <w:rsid w:val="001A1205"/>
    <w:rsid w:val="001A12CF"/>
    <w:rsid w:val="001A140D"/>
    <w:rsid w:val="001A16CE"/>
    <w:rsid w:val="001A194D"/>
    <w:rsid w:val="001A1D10"/>
    <w:rsid w:val="001A1E20"/>
    <w:rsid w:val="001A1E83"/>
    <w:rsid w:val="001A20C6"/>
    <w:rsid w:val="001A2563"/>
    <w:rsid w:val="001A2872"/>
    <w:rsid w:val="001A29DC"/>
    <w:rsid w:val="001A2ED1"/>
    <w:rsid w:val="001A2F74"/>
    <w:rsid w:val="001A352A"/>
    <w:rsid w:val="001A36F7"/>
    <w:rsid w:val="001A3832"/>
    <w:rsid w:val="001A393D"/>
    <w:rsid w:val="001A3A02"/>
    <w:rsid w:val="001A3BB6"/>
    <w:rsid w:val="001A3EF3"/>
    <w:rsid w:val="001A40FE"/>
    <w:rsid w:val="001A4149"/>
    <w:rsid w:val="001A4A14"/>
    <w:rsid w:val="001A4B0D"/>
    <w:rsid w:val="001A4E60"/>
    <w:rsid w:val="001A4EFE"/>
    <w:rsid w:val="001A506D"/>
    <w:rsid w:val="001A51B3"/>
    <w:rsid w:val="001A5288"/>
    <w:rsid w:val="001A54B4"/>
    <w:rsid w:val="001A5670"/>
    <w:rsid w:val="001A5A22"/>
    <w:rsid w:val="001A5ABC"/>
    <w:rsid w:val="001A5C67"/>
    <w:rsid w:val="001A622B"/>
    <w:rsid w:val="001A65DE"/>
    <w:rsid w:val="001A69C4"/>
    <w:rsid w:val="001A6A33"/>
    <w:rsid w:val="001A71C7"/>
    <w:rsid w:val="001A7710"/>
    <w:rsid w:val="001B024E"/>
    <w:rsid w:val="001B026D"/>
    <w:rsid w:val="001B03BE"/>
    <w:rsid w:val="001B0592"/>
    <w:rsid w:val="001B05D4"/>
    <w:rsid w:val="001B0C47"/>
    <w:rsid w:val="001B0F3D"/>
    <w:rsid w:val="001B11AD"/>
    <w:rsid w:val="001B120C"/>
    <w:rsid w:val="001B124F"/>
    <w:rsid w:val="001B144C"/>
    <w:rsid w:val="001B194F"/>
    <w:rsid w:val="001B1CBB"/>
    <w:rsid w:val="001B1E8A"/>
    <w:rsid w:val="001B250C"/>
    <w:rsid w:val="001B281F"/>
    <w:rsid w:val="001B2AAF"/>
    <w:rsid w:val="001B2B51"/>
    <w:rsid w:val="001B382F"/>
    <w:rsid w:val="001B3930"/>
    <w:rsid w:val="001B3B5B"/>
    <w:rsid w:val="001B3C6E"/>
    <w:rsid w:val="001B3D50"/>
    <w:rsid w:val="001B48AC"/>
    <w:rsid w:val="001B490D"/>
    <w:rsid w:val="001B4BAD"/>
    <w:rsid w:val="001B4F79"/>
    <w:rsid w:val="001B5056"/>
    <w:rsid w:val="001B5457"/>
    <w:rsid w:val="001B5BF0"/>
    <w:rsid w:val="001B5C47"/>
    <w:rsid w:val="001B5E2D"/>
    <w:rsid w:val="001B5FF6"/>
    <w:rsid w:val="001B621F"/>
    <w:rsid w:val="001B6379"/>
    <w:rsid w:val="001B6452"/>
    <w:rsid w:val="001B649A"/>
    <w:rsid w:val="001B6595"/>
    <w:rsid w:val="001B660D"/>
    <w:rsid w:val="001B6AA3"/>
    <w:rsid w:val="001B6E55"/>
    <w:rsid w:val="001B760D"/>
    <w:rsid w:val="001B7830"/>
    <w:rsid w:val="001B7BA1"/>
    <w:rsid w:val="001C04B7"/>
    <w:rsid w:val="001C0A65"/>
    <w:rsid w:val="001C0F78"/>
    <w:rsid w:val="001C22E1"/>
    <w:rsid w:val="001C2442"/>
    <w:rsid w:val="001C2664"/>
    <w:rsid w:val="001C2BE1"/>
    <w:rsid w:val="001C2D71"/>
    <w:rsid w:val="001C3190"/>
    <w:rsid w:val="001C3243"/>
    <w:rsid w:val="001C3CF0"/>
    <w:rsid w:val="001C418D"/>
    <w:rsid w:val="001C495C"/>
    <w:rsid w:val="001C50A3"/>
    <w:rsid w:val="001C5105"/>
    <w:rsid w:val="001C518F"/>
    <w:rsid w:val="001C5750"/>
    <w:rsid w:val="001C599F"/>
    <w:rsid w:val="001C5B3C"/>
    <w:rsid w:val="001C5D35"/>
    <w:rsid w:val="001C5EFD"/>
    <w:rsid w:val="001C6E46"/>
    <w:rsid w:val="001C740E"/>
    <w:rsid w:val="001C79E5"/>
    <w:rsid w:val="001C7B83"/>
    <w:rsid w:val="001C7BD2"/>
    <w:rsid w:val="001C7C47"/>
    <w:rsid w:val="001C7ECA"/>
    <w:rsid w:val="001D00DF"/>
    <w:rsid w:val="001D09A0"/>
    <w:rsid w:val="001D0C31"/>
    <w:rsid w:val="001D0CA5"/>
    <w:rsid w:val="001D14C0"/>
    <w:rsid w:val="001D1663"/>
    <w:rsid w:val="001D1856"/>
    <w:rsid w:val="001D1937"/>
    <w:rsid w:val="001D1A25"/>
    <w:rsid w:val="001D2029"/>
    <w:rsid w:val="001D2050"/>
    <w:rsid w:val="001D2980"/>
    <w:rsid w:val="001D2B0C"/>
    <w:rsid w:val="001D2DB1"/>
    <w:rsid w:val="001D2F9A"/>
    <w:rsid w:val="001D3133"/>
    <w:rsid w:val="001D39DF"/>
    <w:rsid w:val="001D3AA7"/>
    <w:rsid w:val="001D3AD6"/>
    <w:rsid w:val="001D4187"/>
    <w:rsid w:val="001D44C7"/>
    <w:rsid w:val="001D44E7"/>
    <w:rsid w:val="001D452A"/>
    <w:rsid w:val="001D46F1"/>
    <w:rsid w:val="001D4F16"/>
    <w:rsid w:val="001D5173"/>
    <w:rsid w:val="001D5345"/>
    <w:rsid w:val="001D5512"/>
    <w:rsid w:val="001D58C5"/>
    <w:rsid w:val="001D5CD2"/>
    <w:rsid w:val="001D5DB3"/>
    <w:rsid w:val="001D64C2"/>
    <w:rsid w:val="001D6720"/>
    <w:rsid w:val="001D68A2"/>
    <w:rsid w:val="001D68EE"/>
    <w:rsid w:val="001D6F96"/>
    <w:rsid w:val="001D70AD"/>
    <w:rsid w:val="001D71AD"/>
    <w:rsid w:val="001D7269"/>
    <w:rsid w:val="001D783C"/>
    <w:rsid w:val="001E0458"/>
    <w:rsid w:val="001E05A6"/>
    <w:rsid w:val="001E07E9"/>
    <w:rsid w:val="001E0B78"/>
    <w:rsid w:val="001E1B18"/>
    <w:rsid w:val="001E1CC8"/>
    <w:rsid w:val="001E1F09"/>
    <w:rsid w:val="001E1FBD"/>
    <w:rsid w:val="001E2126"/>
    <w:rsid w:val="001E246D"/>
    <w:rsid w:val="001E2DE3"/>
    <w:rsid w:val="001E2E28"/>
    <w:rsid w:val="001E328B"/>
    <w:rsid w:val="001E3315"/>
    <w:rsid w:val="001E355A"/>
    <w:rsid w:val="001E3728"/>
    <w:rsid w:val="001E38CC"/>
    <w:rsid w:val="001E3A36"/>
    <w:rsid w:val="001E3BA3"/>
    <w:rsid w:val="001E3BAA"/>
    <w:rsid w:val="001E3D39"/>
    <w:rsid w:val="001E3DF7"/>
    <w:rsid w:val="001E4363"/>
    <w:rsid w:val="001E48EC"/>
    <w:rsid w:val="001E5679"/>
    <w:rsid w:val="001E5695"/>
    <w:rsid w:val="001E590F"/>
    <w:rsid w:val="001E5DB9"/>
    <w:rsid w:val="001E5E9C"/>
    <w:rsid w:val="001E5EE1"/>
    <w:rsid w:val="001E5F0E"/>
    <w:rsid w:val="001E6798"/>
    <w:rsid w:val="001E6E0E"/>
    <w:rsid w:val="001E7853"/>
    <w:rsid w:val="001E7BAE"/>
    <w:rsid w:val="001E7D71"/>
    <w:rsid w:val="001E7DB0"/>
    <w:rsid w:val="001E7FDC"/>
    <w:rsid w:val="001F1351"/>
    <w:rsid w:val="001F182A"/>
    <w:rsid w:val="001F1877"/>
    <w:rsid w:val="001F1CFF"/>
    <w:rsid w:val="001F1ECA"/>
    <w:rsid w:val="001F20A7"/>
    <w:rsid w:val="001F2659"/>
    <w:rsid w:val="001F29D4"/>
    <w:rsid w:val="001F2BB5"/>
    <w:rsid w:val="001F2F2A"/>
    <w:rsid w:val="001F3190"/>
    <w:rsid w:val="001F3A7A"/>
    <w:rsid w:val="001F3AB6"/>
    <w:rsid w:val="001F3DC8"/>
    <w:rsid w:val="001F3DFC"/>
    <w:rsid w:val="001F3FAD"/>
    <w:rsid w:val="001F45B5"/>
    <w:rsid w:val="001F4C44"/>
    <w:rsid w:val="001F518E"/>
    <w:rsid w:val="001F52A5"/>
    <w:rsid w:val="001F57CD"/>
    <w:rsid w:val="001F6544"/>
    <w:rsid w:val="001F6CB4"/>
    <w:rsid w:val="001F6D75"/>
    <w:rsid w:val="001F6EF2"/>
    <w:rsid w:val="001F6FAB"/>
    <w:rsid w:val="001F7792"/>
    <w:rsid w:val="001F7F15"/>
    <w:rsid w:val="001F7F32"/>
    <w:rsid w:val="002007A1"/>
    <w:rsid w:val="00200A7C"/>
    <w:rsid w:val="00200F1E"/>
    <w:rsid w:val="0020131D"/>
    <w:rsid w:val="00201CD6"/>
    <w:rsid w:val="00201FFA"/>
    <w:rsid w:val="00202204"/>
    <w:rsid w:val="002026EF"/>
    <w:rsid w:val="00202789"/>
    <w:rsid w:val="002031A7"/>
    <w:rsid w:val="002039DC"/>
    <w:rsid w:val="00203C2A"/>
    <w:rsid w:val="00203EA8"/>
    <w:rsid w:val="00204576"/>
    <w:rsid w:val="0020505C"/>
    <w:rsid w:val="002053CA"/>
    <w:rsid w:val="00205458"/>
    <w:rsid w:val="00205950"/>
    <w:rsid w:val="00205A97"/>
    <w:rsid w:val="00205C63"/>
    <w:rsid w:val="00205D05"/>
    <w:rsid w:val="00205FB3"/>
    <w:rsid w:val="002062A9"/>
    <w:rsid w:val="00206656"/>
    <w:rsid w:val="00206701"/>
    <w:rsid w:val="002067B0"/>
    <w:rsid w:val="00206CFE"/>
    <w:rsid w:val="00206E6A"/>
    <w:rsid w:val="00207362"/>
    <w:rsid w:val="002077BE"/>
    <w:rsid w:val="00207D65"/>
    <w:rsid w:val="0021004C"/>
    <w:rsid w:val="0021010E"/>
    <w:rsid w:val="0021042A"/>
    <w:rsid w:val="002106FB"/>
    <w:rsid w:val="00210E90"/>
    <w:rsid w:val="00211205"/>
    <w:rsid w:val="00211292"/>
    <w:rsid w:val="002114AF"/>
    <w:rsid w:val="002115E9"/>
    <w:rsid w:val="002116CE"/>
    <w:rsid w:val="0021172B"/>
    <w:rsid w:val="00211C2E"/>
    <w:rsid w:val="00212347"/>
    <w:rsid w:val="0021256C"/>
    <w:rsid w:val="0021259F"/>
    <w:rsid w:val="0021264C"/>
    <w:rsid w:val="002128ED"/>
    <w:rsid w:val="00212C4A"/>
    <w:rsid w:val="00212E0F"/>
    <w:rsid w:val="002131BE"/>
    <w:rsid w:val="0021330A"/>
    <w:rsid w:val="002134ED"/>
    <w:rsid w:val="0021389F"/>
    <w:rsid w:val="002140BF"/>
    <w:rsid w:val="00214215"/>
    <w:rsid w:val="002142C2"/>
    <w:rsid w:val="0021432C"/>
    <w:rsid w:val="00214AD7"/>
    <w:rsid w:val="002153D1"/>
    <w:rsid w:val="0021555F"/>
    <w:rsid w:val="002158D2"/>
    <w:rsid w:val="002159C2"/>
    <w:rsid w:val="00215A10"/>
    <w:rsid w:val="00215C92"/>
    <w:rsid w:val="00215D78"/>
    <w:rsid w:val="0021608D"/>
    <w:rsid w:val="002162F4"/>
    <w:rsid w:val="00216969"/>
    <w:rsid w:val="00216F61"/>
    <w:rsid w:val="0021746B"/>
    <w:rsid w:val="00217609"/>
    <w:rsid w:val="0021775F"/>
    <w:rsid w:val="00217B5D"/>
    <w:rsid w:val="00217CEB"/>
    <w:rsid w:val="00220220"/>
    <w:rsid w:val="002204C1"/>
    <w:rsid w:val="002204C5"/>
    <w:rsid w:val="00220619"/>
    <w:rsid w:val="0022095F"/>
    <w:rsid w:val="00220A0B"/>
    <w:rsid w:val="00220ADF"/>
    <w:rsid w:val="002210EE"/>
    <w:rsid w:val="0022199F"/>
    <w:rsid w:val="002219FB"/>
    <w:rsid w:val="00221B59"/>
    <w:rsid w:val="00221C28"/>
    <w:rsid w:val="0022217C"/>
    <w:rsid w:val="00222512"/>
    <w:rsid w:val="00222B01"/>
    <w:rsid w:val="00222CCA"/>
    <w:rsid w:val="00223318"/>
    <w:rsid w:val="0022355B"/>
    <w:rsid w:val="00223737"/>
    <w:rsid w:val="00223B56"/>
    <w:rsid w:val="00223FA6"/>
    <w:rsid w:val="002246A8"/>
    <w:rsid w:val="00224BB3"/>
    <w:rsid w:val="00224F63"/>
    <w:rsid w:val="00225360"/>
    <w:rsid w:val="00225386"/>
    <w:rsid w:val="002255C9"/>
    <w:rsid w:val="00225765"/>
    <w:rsid w:val="0022599F"/>
    <w:rsid w:val="00225DB0"/>
    <w:rsid w:val="0022649F"/>
    <w:rsid w:val="002264B7"/>
    <w:rsid w:val="00226679"/>
    <w:rsid w:val="00226E7E"/>
    <w:rsid w:val="002271D0"/>
    <w:rsid w:val="00227526"/>
    <w:rsid w:val="0022766A"/>
    <w:rsid w:val="00230142"/>
    <w:rsid w:val="002303EA"/>
    <w:rsid w:val="00230B6C"/>
    <w:rsid w:val="00230BFF"/>
    <w:rsid w:val="00230CE1"/>
    <w:rsid w:val="00230ED2"/>
    <w:rsid w:val="002311E2"/>
    <w:rsid w:val="00231229"/>
    <w:rsid w:val="00231346"/>
    <w:rsid w:val="002315A1"/>
    <w:rsid w:val="00231B5F"/>
    <w:rsid w:val="00231EFF"/>
    <w:rsid w:val="0023247B"/>
    <w:rsid w:val="00232A4D"/>
    <w:rsid w:val="002332B9"/>
    <w:rsid w:val="0023357B"/>
    <w:rsid w:val="002338BF"/>
    <w:rsid w:val="00233D0D"/>
    <w:rsid w:val="00233E5D"/>
    <w:rsid w:val="002341BD"/>
    <w:rsid w:val="0023428D"/>
    <w:rsid w:val="00234404"/>
    <w:rsid w:val="002345EC"/>
    <w:rsid w:val="002348DE"/>
    <w:rsid w:val="00234AF3"/>
    <w:rsid w:val="00234D3D"/>
    <w:rsid w:val="002351B4"/>
    <w:rsid w:val="002351DD"/>
    <w:rsid w:val="00235BE4"/>
    <w:rsid w:val="00235CEA"/>
    <w:rsid w:val="002360DC"/>
    <w:rsid w:val="00236973"/>
    <w:rsid w:val="00236AAE"/>
    <w:rsid w:val="00236FC3"/>
    <w:rsid w:val="002372AE"/>
    <w:rsid w:val="00237460"/>
    <w:rsid w:val="002374C6"/>
    <w:rsid w:val="00237ADE"/>
    <w:rsid w:val="0024005C"/>
    <w:rsid w:val="002403C8"/>
    <w:rsid w:val="00240508"/>
    <w:rsid w:val="00240805"/>
    <w:rsid w:val="00240F5D"/>
    <w:rsid w:val="002412D0"/>
    <w:rsid w:val="00241308"/>
    <w:rsid w:val="00241890"/>
    <w:rsid w:val="00241BD8"/>
    <w:rsid w:val="00242135"/>
    <w:rsid w:val="002422F9"/>
    <w:rsid w:val="00242490"/>
    <w:rsid w:val="00242694"/>
    <w:rsid w:val="002429E2"/>
    <w:rsid w:val="00242FAC"/>
    <w:rsid w:val="002434DA"/>
    <w:rsid w:val="002435C5"/>
    <w:rsid w:val="00243621"/>
    <w:rsid w:val="00243A0A"/>
    <w:rsid w:val="002442F6"/>
    <w:rsid w:val="00244304"/>
    <w:rsid w:val="00244305"/>
    <w:rsid w:val="00244D03"/>
    <w:rsid w:val="00244FFF"/>
    <w:rsid w:val="00245521"/>
    <w:rsid w:val="00245809"/>
    <w:rsid w:val="0024593B"/>
    <w:rsid w:val="00245CDC"/>
    <w:rsid w:val="002466AD"/>
    <w:rsid w:val="00246D2B"/>
    <w:rsid w:val="00246DE8"/>
    <w:rsid w:val="00247550"/>
    <w:rsid w:val="0024776F"/>
    <w:rsid w:val="00247DBD"/>
    <w:rsid w:val="00247E64"/>
    <w:rsid w:val="0025022A"/>
    <w:rsid w:val="00250301"/>
    <w:rsid w:val="002507D8"/>
    <w:rsid w:val="00250912"/>
    <w:rsid w:val="00250E43"/>
    <w:rsid w:val="0025199D"/>
    <w:rsid w:val="00251FAA"/>
    <w:rsid w:val="00252555"/>
    <w:rsid w:val="0025265E"/>
    <w:rsid w:val="002528F2"/>
    <w:rsid w:val="0025297E"/>
    <w:rsid w:val="00252AB8"/>
    <w:rsid w:val="00252C6B"/>
    <w:rsid w:val="00252F0D"/>
    <w:rsid w:val="00253709"/>
    <w:rsid w:val="00253744"/>
    <w:rsid w:val="00253789"/>
    <w:rsid w:val="00253DE9"/>
    <w:rsid w:val="002540CB"/>
    <w:rsid w:val="002544B6"/>
    <w:rsid w:val="00254789"/>
    <w:rsid w:val="00254E8C"/>
    <w:rsid w:val="00255123"/>
    <w:rsid w:val="00255E87"/>
    <w:rsid w:val="002562AD"/>
    <w:rsid w:val="002562BF"/>
    <w:rsid w:val="002562CC"/>
    <w:rsid w:val="002562ED"/>
    <w:rsid w:val="00256865"/>
    <w:rsid w:val="00256ADF"/>
    <w:rsid w:val="00257A10"/>
    <w:rsid w:val="00257AA8"/>
    <w:rsid w:val="00260211"/>
    <w:rsid w:val="002605B7"/>
    <w:rsid w:val="00260AAA"/>
    <w:rsid w:val="00261000"/>
    <w:rsid w:val="0026186C"/>
    <w:rsid w:val="002619D2"/>
    <w:rsid w:val="002623CA"/>
    <w:rsid w:val="002629C9"/>
    <w:rsid w:val="00262BE4"/>
    <w:rsid w:val="0026326A"/>
    <w:rsid w:val="002632CF"/>
    <w:rsid w:val="00263649"/>
    <w:rsid w:val="002637E9"/>
    <w:rsid w:val="00263917"/>
    <w:rsid w:val="00263E5E"/>
    <w:rsid w:val="00263E83"/>
    <w:rsid w:val="0026421D"/>
    <w:rsid w:val="00264337"/>
    <w:rsid w:val="002643DB"/>
    <w:rsid w:val="00264BCC"/>
    <w:rsid w:val="00265239"/>
    <w:rsid w:val="002652AE"/>
    <w:rsid w:val="00265477"/>
    <w:rsid w:val="00265692"/>
    <w:rsid w:val="00265722"/>
    <w:rsid w:val="00265DC4"/>
    <w:rsid w:val="00265E93"/>
    <w:rsid w:val="002663C9"/>
    <w:rsid w:val="00266A07"/>
    <w:rsid w:val="0026714E"/>
    <w:rsid w:val="00267631"/>
    <w:rsid w:val="00267ADE"/>
    <w:rsid w:val="00267D56"/>
    <w:rsid w:val="00267DEB"/>
    <w:rsid w:val="002701E4"/>
    <w:rsid w:val="00270246"/>
    <w:rsid w:val="002706D7"/>
    <w:rsid w:val="0027079E"/>
    <w:rsid w:val="00270892"/>
    <w:rsid w:val="00270AF9"/>
    <w:rsid w:val="00271065"/>
    <w:rsid w:val="0027106F"/>
    <w:rsid w:val="002710EE"/>
    <w:rsid w:val="002713D3"/>
    <w:rsid w:val="002713F6"/>
    <w:rsid w:val="00271466"/>
    <w:rsid w:val="0027147F"/>
    <w:rsid w:val="00271656"/>
    <w:rsid w:val="0027193C"/>
    <w:rsid w:val="00272610"/>
    <w:rsid w:val="002726B7"/>
    <w:rsid w:val="00272792"/>
    <w:rsid w:val="002728DD"/>
    <w:rsid w:val="00272B92"/>
    <w:rsid w:val="00272DB0"/>
    <w:rsid w:val="00273F4B"/>
    <w:rsid w:val="00274170"/>
    <w:rsid w:val="002741CD"/>
    <w:rsid w:val="00274DF5"/>
    <w:rsid w:val="00274F3E"/>
    <w:rsid w:val="002751B7"/>
    <w:rsid w:val="0027546F"/>
    <w:rsid w:val="00275608"/>
    <w:rsid w:val="00275BAB"/>
    <w:rsid w:val="00275C11"/>
    <w:rsid w:val="00275ECA"/>
    <w:rsid w:val="00275F22"/>
    <w:rsid w:val="002762EE"/>
    <w:rsid w:val="00276507"/>
    <w:rsid w:val="002765CF"/>
    <w:rsid w:val="00276BA0"/>
    <w:rsid w:val="00276CC1"/>
    <w:rsid w:val="00276F35"/>
    <w:rsid w:val="00276FEC"/>
    <w:rsid w:val="0027778E"/>
    <w:rsid w:val="002777E0"/>
    <w:rsid w:val="00277A64"/>
    <w:rsid w:val="00277AEF"/>
    <w:rsid w:val="00277CE1"/>
    <w:rsid w:val="00280514"/>
    <w:rsid w:val="00280A7E"/>
    <w:rsid w:val="00280AC0"/>
    <w:rsid w:val="00280AD3"/>
    <w:rsid w:val="00280AD4"/>
    <w:rsid w:val="00281065"/>
    <w:rsid w:val="00281178"/>
    <w:rsid w:val="00281203"/>
    <w:rsid w:val="00281225"/>
    <w:rsid w:val="00281232"/>
    <w:rsid w:val="0028128F"/>
    <w:rsid w:val="00281652"/>
    <w:rsid w:val="002816EA"/>
    <w:rsid w:val="00281874"/>
    <w:rsid w:val="00281A49"/>
    <w:rsid w:val="00281B4F"/>
    <w:rsid w:val="00281F62"/>
    <w:rsid w:val="00281FB6"/>
    <w:rsid w:val="00282639"/>
    <w:rsid w:val="00282A8A"/>
    <w:rsid w:val="00282E49"/>
    <w:rsid w:val="00282FA4"/>
    <w:rsid w:val="0028314B"/>
    <w:rsid w:val="00283479"/>
    <w:rsid w:val="00283853"/>
    <w:rsid w:val="00283881"/>
    <w:rsid w:val="00283923"/>
    <w:rsid w:val="0028394F"/>
    <w:rsid w:val="00283A41"/>
    <w:rsid w:val="00283C3A"/>
    <w:rsid w:val="00283C73"/>
    <w:rsid w:val="00284156"/>
    <w:rsid w:val="0028423E"/>
    <w:rsid w:val="002843F5"/>
    <w:rsid w:val="0028471B"/>
    <w:rsid w:val="00284A28"/>
    <w:rsid w:val="00284DEA"/>
    <w:rsid w:val="00285018"/>
    <w:rsid w:val="002850F5"/>
    <w:rsid w:val="002852BF"/>
    <w:rsid w:val="00285C78"/>
    <w:rsid w:val="002860B5"/>
    <w:rsid w:val="0028629E"/>
    <w:rsid w:val="00286D10"/>
    <w:rsid w:val="00286E54"/>
    <w:rsid w:val="0028716E"/>
    <w:rsid w:val="0028732A"/>
    <w:rsid w:val="00287A66"/>
    <w:rsid w:val="00287C43"/>
    <w:rsid w:val="00287C6D"/>
    <w:rsid w:val="00287CCA"/>
    <w:rsid w:val="00287CD4"/>
    <w:rsid w:val="00287D73"/>
    <w:rsid w:val="00287EAF"/>
    <w:rsid w:val="0029002E"/>
    <w:rsid w:val="0029010D"/>
    <w:rsid w:val="002904FA"/>
    <w:rsid w:val="00290506"/>
    <w:rsid w:val="00290989"/>
    <w:rsid w:val="00290FA3"/>
    <w:rsid w:val="00291228"/>
    <w:rsid w:val="00291557"/>
    <w:rsid w:val="00291580"/>
    <w:rsid w:val="00291A20"/>
    <w:rsid w:val="002922CA"/>
    <w:rsid w:val="00292326"/>
    <w:rsid w:val="00292985"/>
    <w:rsid w:val="00292E9B"/>
    <w:rsid w:val="0029312A"/>
    <w:rsid w:val="002931EB"/>
    <w:rsid w:val="002932C8"/>
    <w:rsid w:val="00293562"/>
    <w:rsid w:val="0029391D"/>
    <w:rsid w:val="00293BEB"/>
    <w:rsid w:val="00293EE6"/>
    <w:rsid w:val="00293EF6"/>
    <w:rsid w:val="0029482D"/>
    <w:rsid w:val="00294A20"/>
    <w:rsid w:val="00294AB8"/>
    <w:rsid w:val="00294AE8"/>
    <w:rsid w:val="00294CE9"/>
    <w:rsid w:val="00294E36"/>
    <w:rsid w:val="0029506C"/>
    <w:rsid w:val="0029517B"/>
    <w:rsid w:val="00295188"/>
    <w:rsid w:val="00295271"/>
    <w:rsid w:val="00295630"/>
    <w:rsid w:val="00295768"/>
    <w:rsid w:val="002957A3"/>
    <w:rsid w:val="002957BF"/>
    <w:rsid w:val="0029587C"/>
    <w:rsid w:val="00295C56"/>
    <w:rsid w:val="00296018"/>
    <w:rsid w:val="002962E8"/>
    <w:rsid w:val="0029695C"/>
    <w:rsid w:val="00296A0F"/>
    <w:rsid w:val="00296C5A"/>
    <w:rsid w:val="00296CA6"/>
    <w:rsid w:val="0029771D"/>
    <w:rsid w:val="002979AE"/>
    <w:rsid w:val="00297BB9"/>
    <w:rsid w:val="00297C24"/>
    <w:rsid w:val="00297D50"/>
    <w:rsid w:val="00297DD0"/>
    <w:rsid w:val="00297EB9"/>
    <w:rsid w:val="002A0172"/>
    <w:rsid w:val="002A0382"/>
    <w:rsid w:val="002A04CF"/>
    <w:rsid w:val="002A0645"/>
    <w:rsid w:val="002A0A5B"/>
    <w:rsid w:val="002A0DED"/>
    <w:rsid w:val="002A0E28"/>
    <w:rsid w:val="002A0E3D"/>
    <w:rsid w:val="002A10D8"/>
    <w:rsid w:val="002A1693"/>
    <w:rsid w:val="002A183A"/>
    <w:rsid w:val="002A229D"/>
    <w:rsid w:val="002A2314"/>
    <w:rsid w:val="002A2D06"/>
    <w:rsid w:val="002A2FC2"/>
    <w:rsid w:val="002A3052"/>
    <w:rsid w:val="002A30DA"/>
    <w:rsid w:val="002A3241"/>
    <w:rsid w:val="002A32A1"/>
    <w:rsid w:val="002A33BA"/>
    <w:rsid w:val="002A3438"/>
    <w:rsid w:val="002A350D"/>
    <w:rsid w:val="002A3C2A"/>
    <w:rsid w:val="002A3CDB"/>
    <w:rsid w:val="002A3DCD"/>
    <w:rsid w:val="002A42C6"/>
    <w:rsid w:val="002A455D"/>
    <w:rsid w:val="002A4B38"/>
    <w:rsid w:val="002A4D6A"/>
    <w:rsid w:val="002A4DFB"/>
    <w:rsid w:val="002A4FBE"/>
    <w:rsid w:val="002A505C"/>
    <w:rsid w:val="002A52A9"/>
    <w:rsid w:val="002A58E0"/>
    <w:rsid w:val="002A5999"/>
    <w:rsid w:val="002A5A3E"/>
    <w:rsid w:val="002A627A"/>
    <w:rsid w:val="002A6359"/>
    <w:rsid w:val="002A6533"/>
    <w:rsid w:val="002A68D9"/>
    <w:rsid w:val="002A6AB3"/>
    <w:rsid w:val="002A6D53"/>
    <w:rsid w:val="002A70BA"/>
    <w:rsid w:val="002A71BB"/>
    <w:rsid w:val="002A7222"/>
    <w:rsid w:val="002A78E7"/>
    <w:rsid w:val="002A7A76"/>
    <w:rsid w:val="002A7B30"/>
    <w:rsid w:val="002A7CA3"/>
    <w:rsid w:val="002A7F9B"/>
    <w:rsid w:val="002B00EF"/>
    <w:rsid w:val="002B04F1"/>
    <w:rsid w:val="002B063C"/>
    <w:rsid w:val="002B06D2"/>
    <w:rsid w:val="002B088D"/>
    <w:rsid w:val="002B0910"/>
    <w:rsid w:val="002B0AA5"/>
    <w:rsid w:val="002B0C3F"/>
    <w:rsid w:val="002B0E28"/>
    <w:rsid w:val="002B116A"/>
    <w:rsid w:val="002B14A8"/>
    <w:rsid w:val="002B15A0"/>
    <w:rsid w:val="002B1971"/>
    <w:rsid w:val="002B1995"/>
    <w:rsid w:val="002B1EDE"/>
    <w:rsid w:val="002B2620"/>
    <w:rsid w:val="002B2A47"/>
    <w:rsid w:val="002B2B52"/>
    <w:rsid w:val="002B2DF7"/>
    <w:rsid w:val="002B2F39"/>
    <w:rsid w:val="002B3283"/>
    <w:rsid w:val="002B32AC"/>
    <w:rsid w:val="002B3602"/>
    <w:rsid w:val="002B3A5D"/>
    <w:rsid w:val="002B3CBD"/>
    <w:rsid w:val="002B3E14"/>
    <w:rsid w:val="002B3E77"/>
    <w:rsid w:val="002B41F2"/>
    <w:rsid w:val="002B556D"/>
    <w:rsid w:val="002B5707"/>
    <w:rsid w:val="002B5A37"/>
    <w:rsid w:val="002B5EFE"/>
    <w:rsid w:val="002B61D2"/>
    <w:rsid w:val="002B66F9"/>
    <w:rsid w:val="002B6A6F"/>
    <w:rsid w:val="002B6DDA"/>
    <w:rsid w:val="002B6F40"/>
    <w:rsid w:val="002B700A"/>
    <w:rsid w:val="002B7043"/>
    <w:rsid w:val="002B7464"/>
    <w:rsid w:val="002B777D"/>
    <w:rsid w:val="002B79F9"/>
    <w:rsid w:val="002B7AD7"/>
    <w:rsid w:val="002B7CAE"/>
    <w:rsid w:val="002C0058"/>
    <w:rsid w:val="002C0225"/>
    <w:rsid w:val="002C0343"/>
    <w:rsid w:val="002C062C"/>
    <w:rsid w:val="002C0E05"/>
    <w:rsid w:val="002C19C6"/>
    <w:rsid w:val="002C1B0C"/>
    <w:rsid w:val="002C1E8D"/>
    <w:rsid w:val="002C1FB7"/>
    <w:rsid w:val="002C1FC5"/>
    <w:rsid w:val="002C20FE"/>
    <w:rsid w:val="002C213D"/>
    <w:rsid w:val="002C2261"/>
    <w:rsid w:val="002C26C9"/>
    <w:rsid w:val="002C2856"/>
    <w:rsid w:val="002C2934"/>
    <w:rsid w:val="002C2C89"/>
    <w:rsid w:val="002C2D4E"/>
    <w:rsid w:val="002C2FF2"/>
    <w:rsid w:val="002C318B"/>
    <w:rsid w:val="002C32EF"/>
    <w:rsid w:val="002C334A"/>
    <w:rsid w:val="002C3552"/>
    <w:rsid w:val="002C37B2"/>
    <w:rsid w:val="002C37D5"/>
    <w:rsid w:val="002C39A2"/>
    <w:rsid w:val="002C41E0"/>
    <w:rsid w:val="002C42DB"/>
    <w:rsid w:val="002C444C"/>
    <w:rsid w:val="002C461F"/>
    <w:rsid w:val="002C491B"/>
    <w:rsid w:val="002C49F5"/>
    <w:rsid w:val="002C4E68"/>
    <w:rsid w:val="002C51B7"/>
    <w:rsid w:val="002C556A"/>
    <w:rsid w:val="002C6D17"/>
    <w:rsid w:val="002C6E09"/>
    <w:rsid w:val="002C6F0E"/>
    <w:rsid w:val="002C7680"/>
    <w:rsid w:val="002C76F9"/>
    <w:rsid w:val="002C7D99"/>
    <w:rsid w:val="002C7E42"/>
    <w:rsid w:val="002C7EDC"/>
    <w:rsid w:val="002D016D"/>
    <w:rsid w:val="002D030F"/>
    <w:rsid w:val="002D0869"/>
    <w:rsid w:val="002D0881"/>
    <w:rsid w:val="002D0A88"/>
    <w:rsid w:val="002D10C5"/>
    <w:rsid w:val="002D10FD"/>
    <w:rsid w:val="002D1102"/>
    <w:rsid w:val="002D114B"/>
    <w:rsid w:val="002D13EB"/>
    <w:rsid w:val="002D14AA"/>
    <w:rsid w:val="002D1C8F"/>
    <w:rsid w:val="002D1CA1"/>
    <w:rsid w:val="002D1D01"/>
    <w:rsid w:val="002D2212"/>
    <w:rsid w:val="002D2401"/>
    <w:rsid w:val="002D274D"/>
    <w:rsid w:val="002D298F"/>
    <w:rsid w:val="002D2EEE"/>
    <w:rsid w:val="002D343A"/>
    <w:rsid w:val="002D35D0"/>
    <w:rsid w:val="002D37CA"/>
    <w:rsid w:val="002D3B62"/>
    <w:rsid w:val="002D4BDB"/>
    <w:rsid w:val="002D4C0D"/>
    <w:rsid w:val="002D4F91"/>
    <w:rsid w:val="002D51B8"/>
    <w:rsid w:val="002D54F0"/>
    <w:rsid w:val="002D5B9F"/>
    <w:rsid w:val="002D5C29"/>
    <w:rsid w:val="002D5E5D"/>
    <w:rsid w:val="002D665A"/>
    <w:rsid w:val="002D6F79"/>
    <w:rsid w:val="002D6FF6"/>
    <w:rsid w:val="002D7007"/>
    <w:rsid w:val="002D7185"/>
    <w:rsid w:val="002D7214"/>
    <w:rsid w:val="002D7396"/>
    <w:rsid w:val="002D7695"/>
    <w:rsid w:val="002D7B3F"/>
    <w:rsid w:val="002D7B9A"/>
    <w:rsid w:val="002E012D"/>
    <w:rsid w:val="002E0249"/>
    <w:rsid w:val="002E0411"/>
    <w:rsid w:val="002E0B5C"/>
    <w:rsid w:val="002E1075"/>
    <w:rsid w:val="002E132C"/>
    <w:rsid w:val="002E16E5"/>
    <w:rsid w:val="002E1F62"/>
    <w:rsid w:val="002E1FB2"/>
    <w:rsid w:val="002E211E"/>
    <w:rsid w:val="002E2184"/>
    <w:rsid w:val="002E21B9"/>
    <w:rsid w:val="002E284F"/>
    <w:rsid w:val="002E2AD2"/>
    <w:rsid w:val="002E2ADF"/>
    <w:rsid w:val="002E2DD3"/>
    <w:rsid w:val="002E3EF2"/>
    <w:rsid w:val="002E3F3F"/>
    <w:rsid w:val="002E40B7"/>
    <w:rsid w:val="002E46C6"/>
    <w:rsid w:val="002E4A97"/>
    <w:rsid w:val="002E4B49"/>
    <w:rsid w:val="002E4B7B"/>
    <w:rsid w:val="002E4BF9"/>
    <w:rsid w:val="002E4DFA"/>
    <w:rsid w:val="002E501C"/>
    <w:rsid w:val="002E527B"/>
    <w:rsid w:val="002E5997"/>
    <w:rsid w:val="002E5C95"/>
    <w:rsid w:val="002E6166"/>
    <w:rsid w:val="002E6280"/>
    <w:rsid w:val="002E6A11"/>
    <w:rsid w:val="002E6A29"/>
    <w:rsid w:val="002E6DC0"/>
    <w:rsid w:val="002E7007"/>
    <w:rsid w:val="002E703F"/>
    <w:rsid w:val="002E7103"/>
    <w:rsid w:val="002E7454"/>
    <w:rsid w:val="002E786F"/>
    <w:rsid w:val="002E7BB7"/>
    <w:rsid w:val="002E7BC7"/>
    <w:rsid w:val="002E7BF1"/>
    <w:rsid w:val="002F030D"/>
    <w:rsid w:val="002F099E"/>
    <w:rsid w:val="002F0D61"/>
    <w:rsid w:val="002F0E2D"/>
    <w:rsid w:val="002F135E"/>
    <w:rsid w:val="002F139F"/>
    <w:rsid w:val="002F1A39"/>
    <w:rsid w:val="002F1EC5"/>
    <w:rsid w:val="002F1EF3"/>
    <w:rsid w:val="002F1F46"/>
    <w:rsid w:val="002F20C3"/>
    <w:rsid w:val="002F20E2"/>
    <w:rsid w:val="002F2225"/>
    <w:rsid w:val="002F2415"/>
    <w:rsid w:val="002F28CA"/>
    <w:rsid w:val="002F2AC1"/>
    <w:rsid w:val="002F2B71"/>
    <w:rsid w:val="002F2DB6"/>
    <w:rsid w:val="002F2DE7"/>
    <w:rsid w:val="002F2FC6"/>
    <w:rsid w:val="002F3175"/>
    <w:rsid w:val="002F33CD"/>
    <w:rsid w:val="002F35C8"/>
    <w:rsid w:val="002F41F3"/>
    <w:rsid w:val="002F4220"/>
    <w:rsid w:val="002F4DD8"/>
    <w:rsid w:val="002F4E9B"/>
    <w:rsid w:val="002F5179"/>
    <w:rsid w:val="002F5252"/>
    <w:rsid w:val="002F5480"/>
    <w:rsid w:val="002F550C"/>
    <w:rsid w:val="002F58CA"/>
    <w:rsid w:val="002F60EB"/>
    <w:rsid w:val="002F61DB"/>
    <w:rsid w:val="002F63C2"/>
    <w:rsid w:val="002F66C6"/>
    <w:rsid w:val="002F6768"/>
    <w:rsid w:val="002F6E79"/>
    <w:rsid w:val="002F7079"/>
    <w:rsid w:val="002F7215"/>
    <w:rsid w:val="002F7321"/>
    <w:rsid w:val="002F7362"/>
    <w:rsid w:val="002F7932"/>
    <w:rsid w:val="002F796D"/>
    <w:rsid w:val="002F7A7A"/>
    <w:rsid w:val="002F7D51"/>
    <w:rsid w:val="002F7FE4"/>
    <w:rsid w:val="0030024B"/>
    <w:rsid w:val="00300481"/>
    <w:rsid w:val="00300F17"/>
    <w:rsid w:val="00300F27"/>
    <w:rsid w:val="00300FA4"/>
    <w:rsid w:val="003016E8"/>
    <w:rsid w:val="00301758"/>
    <w:rsid w:val="00301949"/>
    <w:rsid w:val="003019AA"/>
    <w:rsid w:val="00301DB9"/>
    <w:rsid w:val="00301F7A"/>
    <w:rsid w:val="00301F9D"/>
    <w:rsid w:val="00301FC0"/>
    <w:rsid w:val="00302044"/>
    <w:rsid w:val="00302358"/>
    <w:rsid w:val="003026A5"/>
    <w:rsid w:val="00302877"/>
    <w:rsid w:val="00302989"/>
    <w:rsid w:val="00302E0C"/>
    <w:rsid w:val="00302F46"/>
    <w:rsid w:val="00302F47"/>
    <w:rsid w:val="0030305C"/>
    <w:rsid w:val="00303186"/>
    <w:rsid w:val="003035EF"/>
    <w:rsid w:val="00303806"/>
    <w:rsid w:val="00303840"/>
    <w:rsid w:val="00303A1B"/>
    <w:rsid w:val="00303B35"/>
    <w:rsid w:val="00303DEB"/>
    <w:rsid w:val="00303F3B"/>
    <w:rsid w:val="00303FDF"/>
    <w:rsid w:val="00304712"/>
    <w:rsid w:val="0030474E"/>
    <w:rsid w:val="003048B9"/>
    <w:rsid w:val="00304AF0"/>
    <w:rsid w:val="00305B2A"/>
    <w:rsid w:val="00305C8F"/>
    <w:rsid w:val="00305F17"/>
    <w:rsid w:val="00305FD7"/>
    <w:rsid w:val="00306247"/>
    <w:rsid w:val="003062A6"/>
    <w:rsid w:val="00306C78"/>
    <w:rsid w:val="00306EC9"/>
    <w:rsid w:val="00307759"/>
    <w:rsid w:val="0030797E"/>
    <w:rsid w:val="00307B48"/>
    <w:rsid w:val="00307EFF"/>
    <w:rsid w:val="00310067"/>
    <w:rsid w:val="00310234"/>
    <w:rsid w:val="00311C08"/>
    <w:rsid w:val="0031252F"/>
    <w:rsid w:val="003125ED"/>
    <w:rsid w:val="00312655"/>
    <w:rsid w:val="00312960"/>
    <w:rsid w:val="00312970"/>
    <w:rsid w:val="00312EDA"/>
    <w:rsid w:val="0031313A"/>
    <w:rsid w:val="00313F30"/>
    <w:rsid w:val="00314597"/>
    <w:rsid w:val="00314623"/>
    <w:rsid w:val="0031479E"/>
    <w:rsid w:val="00314A8C"/>
    <w:rsid w:val="00314B06"/>
    <w:rsid w:val="00314D29"/>
    <w:rsid w:val="00315C39"/>
    <w:rsid w:val="00315FE0"/>
    <w:rsid w:val="003160AC"/>
    <w:rsid w:val="00316486"/>
    <w:rsid w:val="00316663"/>
    <w:rsid w:val="00316759"/>
    <w:rsid w:val="003168DB"/>
    <w:rsid w:val="00316935"/>
    <w:rsid w:val="003169EF"/>
    <w:rsid w:val="00316F74"/>
    <w:rsid w:val="00317112"/>
    <w:rsid w:val="00317253"/>
    <w:rsid w:val="003175F8"/>
    <w:rsid w:val="00317943"/>
    <w:rsid w:val="00317A17"/>
    <w:rsid w:val="00317AC2"/>
    <w:rsid w:val="003200FB"/>
    <w:rsid w:val="0032074F"/>
    <w:rsid w:val="00320AC3"/>
    <w:rsid w:val="00321113"/>
    <w:rsid w:val="003217E3"/>
    <w:rsid w:val="00322C77"/>
    <w:rsid w:val="00323380"/>
    <w:rsid w:val="00324482"/>
    <w:rsid w:val="00324578"/>
    <w:rsid w:val="00324F70"/>
    <w:rsid w:val="003250DA"/>
    <w:rsid w:val="003250EB"/>
    <w:rsid w:val="003252E6"/>
    <w:rsid w:val="003253CD"/>
    <w:rsid w:val="003253DE"/>
    <w:rsid w:val="00325471"/>
    <w:rsid w:val="0032565D"/>
    <w:rsid w:val="0032579D"/>
    <w:rsid w:val="00325F09"/>
    <w:rsid w:val="003260BF"/>
    <w:rsid w:val="0032639D"/>
    <w:rsid w:val="0032664B"/>
    <w:rsid w:val="00326CA4"/>
    <w:rsid w:val="00326CF3"/>
    <w:rsid w:val="003270B5"/>
    <w:rsid w:val="00327228"/>
    <w:rsid w:val="0032736A"/>
    <w:rsid w:val="003273E5"/>
    <w:rsid w:val="00327916"/>
    <w:rsid w:val="00327C4F"/>
    <w:rsid w:val="00327F9B"/>
    <w:rsid w:val="00327FFA"/>
    <w:rsid w:val="0033039C"/>
    <w:rsid w:val="003307BB"/>
    <w:rsid w:val="003309D6"/>
    <w:rsid w:val="00330AB3"/>
    <w:rsid w:val="00330F22"/>
    <w:rsid w:val="0033104C"/>
    <w:rsid w:val="00331124"/>
    <w:rsid w:val="00331627"/>
    <w:rsid w:val="00331855"/>
    <w:rsid w:val="00331CF4"/>
    <w:rsid w:val="0033235B"/>
    <w:rsid w:val="00332A4C"/>
    <w:rsid w:val="00332ACC"/>
    <w:rsid w:val="00332BC4"/>
    <w:rsid w:val="00332C31"/>
    <w:rsid w:val="003330AC"/>
    <w:rsid w:val="0033327E"/>
    <w:rsid w:val="003333E6"/>
    <w:rsid w:val="003334C5"/>
    <w:rsid w:val="0033366A"/>
    <w:rsid w:val="003339EA"/>
    <w:rsid w:val="0033453F"/>
    <w:rsid w:val="003345A5"/>
    <w:rsid w:val="00335591"/>
    <w:rsid w:val="00335611"/>
    <w:rsid w:val="00335875"/>
    <w:rsid w:val="00335E1E"/>
    <w:rsid w:val="0033653C"/>
    <w:rsid w:val="00336A10"/>
    <w:rsid w:val="00336DB8"/>
    <w:rsid w:val="00336F00"/>
    <w:rsid w:val="003371D7"/>
    <w:rsid w:val="0033730E"/>
    <w:rsid w:val="003375D0"/>
    <w:rsid w:val="003375ED"/>
    <w:rsid w:val="003378B7"/>
    <w:rsid w:val="00337B04"/>
    <w:rsid w:val="00340B67"/>
    <w:rsid w:val="00340BA2"/>
    <w:rsid w:val="00341B70"/>
    <w:rsid w:val="0034230F"/>
    <w:rsid w:val="0034247B"/>
    <w:rsid w:val="003424B7"/>
    <w:rsid w:val="003427BF"/>
    <w:rsid w:val="00342903"/>
    <w:rsid w:val="00342A9A"/>
    <w:rsid w:val="00342C5B"/>
    <w:rsid w:val="00342D0E"/>
    <w:rsid w:val="00342F32"/>
    <w:rsid w:val="003431EF"/>
    <w:rsid w:val="003431F3"/>
    <w:rsid w:val="00343C04"/>
    <w:rsid w:val="00343D9E"/>
    <w:rsid w:val="003442F4"/>
    <w:rsid w:val="00344387"/>
    <w:rsid w:val="0034461E"/>
    <w:rsid w:val="00344992"/>
    <w:rsid w:val="00344C78"/>
    <w:rsid w:val="00344E52"/>
    <w:rsid w:val="0034510B"/>
    <w:rsid w:val="0034533B"/>
    <w:rsid w:val="00345B8C"/>
    <w:rsid w:val="00345BF6"/>
    <w:rsid w:val="00345FCF"/>
    <w:rsid w:val="0034621C"/>
    <w:rsid w:val="00346384"/>
    <w:rsid w:val="003463F5"/>
    <w:rsid w:val="0034678C"/>
    <w:rsid w:val="00346A7F"/>
    <w:rsid w:val="00346D6C"/>
    <w:rsid w:val="00346DA6"/>
    <w:rsid w:val="00346F75"/>
    <w:rsid w:val="00346FDF"/>
    <w:rsid w:val="0034758D"/>
    <w:rsid w:val="00347668"/>
    <w:rsid w:val="00347676"/>
    <w:rsid w:val="00347F43"/>
    <w:rsid w:val="00350031"/>
    <w:rsid w:val="0035064A"/>
    <w:rsid w:val="00350702"/>
    <w:rsid w:val="00350757"/>
    <w:rsid w:val="00350C5B"/>
    <w:rsid w:val="00350E25"/>
    <w:rsid w:val="00351621"/>
    <w:rsid w:val="0035206F"/>
    <w:rsid w:val="00352538"/>
    <w:rsid w:val="00352AC8"/>
    <w:rsid w:val="0035313F"/>
    <w:rsid w:val="003545EA"/>
    <w:rsid w:val="00354718"/>
    <w:rsid w:val="00354E20"/>
    <w:rsid w:val="00354E2F"/>
    <w:rsid w:val="0035501E"/>
    <w:rsid w:val="003552B9"/>
    <w:rsid w:val="003556E7"/>
    <w:rsid w:val="00355862"/>
    <w:rsid w:val="00355F92"/>
    <w:rsid w:val="00356020"/>
    <w:rsid w:val="003560AD"/>
    <w:rsid w:val="0035623C"/>
    <w:rsid w:val="003562C6"/>
    <w:rsid w:val="003562FE"/>
    <w:rsid w:val="00356632"/>
    <w:rsid w:val="0035670A"/>
    <w:rsid w:val="003568AB"/>
    <w:rsid w:val="003569FD"/>
    <w:rsid w:val="00356B57"/>
    <w:rsid w:val="00357200"/>
    <w:rsid w:val="00357D95"/>
    <w:rsid w:val="00357E8B"/>
    <w:rsid w:val="00357F8B"/>
    <w:rsid w:val="00360044"/>
    <w:rsid w:val="00360535"/>
    <w:rsid w:val="00360C64"/>
    <w:rsid w:val="00360CAE"/>
    <w:rsid w:val="00360CB6"/>
    <w:rsid w:val="003611BC"/>
    <w:rsid w:val="003612F9"/>
    <w:rsid w:val="003616C8"/>
    <w:rsid w:val="0036170D"/>
    <w:rsid w:val="0036176E"/>
    <w:rsid w:val="003617BF"/>
    <w:rsid w:val="00361AB8"/>
    <w:rsid w:val="00361D60"/>
    <w:rsid w:val="00361E8D"/>
    <w:rsid w:val="00362252"/>
    <w:rsid w:val="00362808"/>
    <w:rsid w:val="00362A09"/>
    <w:rsid w:val="00362C1D"/>
    <w:rsid w:val="00362E57"/>
    <w:rsid w:val="003630F9"/>
    <w:rsid w:val="003631BD"/>
    <w:rsid w:val="00363B1A"/>
    <w:rsid w:val="00363BC4"/>
    <w:rsid w:val="00363D5C"/>
    <w:rsid w:val="00363FFE"/>
    <w:rsid w:val="0036409B"/>
    <w:rsid w:val="00364695"/>
    <w:rsid w:val="003648D8"/>
    <w:rsid w:val="00364B28"/>
    <w:rsid w:val="00364CA9"/>
    <w:rsid w:val="00364F92"/>
    <w:rsid w:val="00364FC6"/>
    <w:rsid w:val="0036511B"/>
    <w:rsid w:val="00366390"/>
    <w:rsid w:val="00366687"/>
    <w:rsid w:val="00366697"/>
    <w:rsid w:val="00366779"/>
    <w:rsid w:val="003667D4"/>
    <w:rsid w:val="00366A1F"/>
    <w:rsid w:val="00367351"/>
    <w:rsid w:val="003678C5"/>
    <w:rsid w:val="00367C56"/>
    <w:rsid w:val="00370030"/>
    <w:rsid w:val="00370591"/>
    <w:rsid w:val="00370B4B"/>
    <w:rsid w:val="00370B65"/>
    <w:rsid w:val="00370DC2"/>
    <w:rsid w:val="0037106D"/>
    <w:rsid w:val="00371212"/>
    <w:rsid w:val="003717D1"/>
    <w:rsid w:val="00371A60"/>
    <w:rsid w:val="00371B97"/>
    <w:rsid w:val="00371CC5"/>
    <w:rsid w:val="00371FA6"/>
    <w:rsid w:val="00373E18"/>
    <w:rsid w:val="003743FC"/>
    <w:rsid w:val="00374407"/>
    <w:rsid w:val="0037471E"/>
    <w:rsid w:val="00374735"/>
    <w:rsid w:val="00374FD0"/>
    <w:rsid w:val="003753C5"/>
    <w:rsid w:val="00375861"/>
    <w:rsid w:val="00375C0D"/>
    <w:rsid w:val="00375E49"/>
    <w:rsid w:val="00375E4E"/>
    <w:rsid w:val="00375F67"/>
    <w:rsid w:val="003765CD"/>
    <w:rsid w:val="00376E5E"/>
    <w:rsid w:val="00377086"/>
    <w:rsid w:val="00377464"/>
    <w:rsid w:val="003776CF"/>
    <w:rsid w:val="003802B3"/>
    <w:rsid w:val="00380362"/>
    <w:rsid w:val="00380C8E"/>
    <w:rsid w:val="00380C99"/>
    <w:rsid w:val="00380E83"/>
    <w:rsid w:val="00380F4E"/>
    <w:rsid w:val="00380F8A"/>
    <w:rsid w:val="00381108"/>
    <w:rsid w:val="003816E2"/>
    <w:rsid w:val="00381D1B"/>
    <w:rsid w:val="00381ED2"/>
    <w:rsid w:val="00381F50"/>
    <w:rsid w:val="003828C5"/>
    <w:rsid w:val="0038309A"/>
    <w:rsid w:val="00383E98"/>
    <w:rsid w:val="0038428C"/>
    <w:rsid w:val="00384536"/>
    <w:rsid w:val="003848DE"/>
    <w:rsid w:val="00384CE8"/>
    <w:rsid w:val="00384DB2"/>
    <w:rsid w:val="00384E6F"/>
    <w:rsid w:val="00384E94"/>
    <w:rsid w:val="00384F6A"/>
    <w:rsid w:val="0038514A"/>
    <w:rsid w:val="00385264"/>
    <w:rsid w:val="003853C8"/>
    <w:rsid w:val="003854EB"/>
    <w:rsid w:val="003855EC"/>
    <w:rsid w:val="00385CDE"/>
    <w:rsid w:val="00385F5B"/>
    <w:rsid w:val="003865DC"/>
    <w:rsid w:val="003869B4"/>
    <w:rsid w:val="00386D86"/>
    <w:rsid w:val="00386E5C"/>
    <w:rsid w:val="00386F14"/>
    <w:rsid w:val="00387258"/>
    <w:rsid w:val="00387647"/>
    <w:rsid w:val="003878CD"/>
    <w:rsid w:val="00387CE1"/>
    <w:rsid w:val="00387DDC"/>
    <w:rsid w:val="00390190"/>
    <w:rsid w:val="00390329"/>
    <w:rsid w:val="0039041C"/>
    <w:rsid w:val="003913B1"/>
    <w:rsid w:val="003913EB"/>
    <w:rsid w:val="00391594"/>
    <w:rsid w:val="0039177D"/>
    <w:rsid w:val="0039179B"/>
    <w:rsid w:val="00391B47"/>
    <w:rsid w:val="00391FC3"/>
    <w:rsid w:val="00392181"/>
    <w:rsid w:val="0039218E"/>
    <w:rsid w:val="003926E7"/>
    <w:rsid w:val="00392871"/>
    <w:rsid w:val="00392894"/>
    <w:rsid w:val="003928CC"/>
    <w:rsid w:val="00392FF6"/>
    <w:rsid w:val="00393857"/>
    <w:rsid w:val="0039396D"/>
    <w:rsid w:val="003939BC"/>
    <w:rsid w:val="00393FD4"/>
    <w:rsid w:val="00394276"/>
    <w:rsid w:val="00394ADE"/>
    <w:rsid w:val="00394C91"/>
    <w:rsid w:val="00394FFE"/>
    <w:rsid w:val="00395B65"/>
    <w:rsid w:val="0039615E"/>
    <w:rsid w:val="00396220"/>
    <w:rsid w:val="003962C5"/>
    <w:rsid w:val="003965D6"/>
    <w:rsid w:val="00396626"/>
    <w:rsid w:val="00396BD3"/>
    <w:rsid w:val="00396D28"/>
    <w:rsid w:val="00397171"/>
    <w:rsid w:val="0039738C"/>
    <w:rsid w:val="003975AF"/>
    <w:rsid w:val="00397772"/>
    <w:rsid w:val="00397839"/>
    <w:rsid w:val="003A023D"/>
    <w:rsid w:val="003A029D"/>
    <w:rsid w:val="003A0305"/>
    <w:rsid w:val="003A040E"/>
    <w:rsid w:val="003A0522"/>
    <w:rsid w:val="003A0703"/>
    <w:rsid w:val="003A0931"/>
    <w:rsid w:val="003A1176"/>
    <w:rsid w:val="003A15A3"/>
    <w:rsid w:val="003A179D"/>
    <w:rsid w:val="003A1A56"/>
    <w:rsid w:val="003A1CF9"/>
    <w:rsid w:val="003A1EEA"/>
    <w:rsid w:val="003A2031"/>
    <w:rsid w:val="003A20C9"/>
    <w:rsid w:val="003A223F"/>
    <w:rsid w:val="003A228D"/>
    <w:rsid w:val="003A2CEA"/>
    <w:rsid w:val="003A2D9C"/>
    <w:rsid w:val="003A34BB"/>
    <w:rsid w:val="003A3704"/>
    <w:rsid w:val="003A3980"/>
    <w:rsid w:val="003A40C5"/>
    <w:rsid w:val="003A40EA"/>
    <w:rsid w:val="003A41B7"/>
    <w:rsid w:val="003A421F"/>
    <w:rsid w:val="003A4388"/>
    <w:rsid w:val="003A4405"/>
    <w:rsid w:val="003A463B"/>
    <w:rsid w:val="003A4751"/>
    <w:rsid w:val="003A4B7C"/>
    <w:rsid w:val="003A4C37"/>
    <w:rsid w:val="003A4D6E"/>
    <w:rsid w:val="003A5226"/>
    <w:rsid w:val="003A5298"/>
    <w:rsid w:val="003A5577"/>
    <w:rsid w:val="003A5A3F"/>
    <w:rsid w:val="003A5ADF"/>
    <w:rsid w:val="003A5D0F"/>
    <w:rsid w:val="003A6403"/>
    <w:rsid w:val="003A6527"/>
    <w:rsid w:val="003A6860"/>
    <w:rsid w:val="003A6DA6"/>
    <w:rsid w:val="003A7040"/>
    <w:rsid w:val="003A73CC"/>
    <w:rsid w:val="003A7A83"/>
    <w:rsid w:val="003B017A"/>
    <w:rsid w:val="003B0370"/>
    <w:rsid w:val="003B08C2"/>
    <w:rsid w:val="003B0927"/>
    <w:rsid w:val="003B095D"/>
    <w:rsid w:val="003B1223"/>
    <w:rsid w:val="003B165E"/>
    <w:rsid w:val="003B1887"/>
    <w:rsid w:val="003B2447"/>
    <w:rsid w:val="003B2618"/>
    <w:rsid w:val="003B2753"/>
    <w:rsid w:val="003B27FB"/>
    <w:rsid w:val="003B2A02"/>
    <w:rsid w:val="003B2ADD"/>
    <w:rsid w:val="003B2E91"/>
    <w:rsid w:val="003B3010"/>
    <w:rsid w:val="003B30E9"/>
    <w:rsid w:val="003B31F7"/>
    <w:rsid w:val="003B3247"/>
    <w:rsid w:val="003B32AA"/>
    <w:rsid w:val="003B3737"/>
    <w:rsid w:val="003B38DD"/>
    <w:rsid w:val="003B3C86"/>
    <w:rsid w:val="003B4063"/>
    <w:rsid w:val="003B4124"/>
    <w:rsid w:val="003B425A"/>
    <w:rsid w:val="003B4889"/>
    <w:rsid w:val="003B5215"/>
    <w:rsid w:val="003B5B4A"/>
    <w:rsid w:val="003B5C25"/>
    <w:rsid w:val="003B62C4"/>
    <w:rsid w:val="003B6338"/>
    <w:rsid w:val="003B650F"/>
    <w:rsid w:val="003B6C66"/>
    <w:rsid w:val="003B6D4C"/>
    <w:rsid w:val="003B7147"/>
    <w:rsid w:val="003B7962"/>
    <w:rsid w:val="003B7B18"/>
    <w:rsid w:val="003B7D86"/>
    <w:rsid w:val="003B7DF2"/>
    <w:rsid w:val="003C0624"/>
    <w:rsid w:val="003C0C9A"/>
    <w:rsid w:val="003C0D2F"/>
    <w:rsid w:val="003C0DBF"/>
    <w:rsid w:val="003C0DFD"/>
    <w:rsid w:val="003C0F0C"/>
    <w:rsid w:val="003C12F3"/>
    <w:rsid w:val="003C1329"/>
    <w:rsid w:val="003C158E"/>
    <w:rsid w:val="003C168F"/>
    <w:rsid w:val="003C16E1"/>
    <w:rsid w:val="003C18CA"/>
    <w:rsid w:val="003C1A8F"/>
    <w:rsid w:val="003C1B03"/>
    <w:rsid w:val="003C1F41"/>
    <w:rsid w:val="003C251C"/>
    <w:rsid w:val="003C29D8"/>
    <w:rsid w:val="003C3301"/>
    <w:rsid w:val="003C3551"/>
    <w:rsid w:val="003C3EC9"/>
    <w:rsid w:val="003C3F6B"/>
    <w:rsid w:val="003C47B0"/>
    <w:rsid w:val="003C4B91"/>
    <w:rsid w:val="003C4F7A"/>
    <w:rsid w:val="003C52E5"/>
    <w:rsid w:val="003C5425"/>
    <w:rsid w:val="003C687B"/>
    <w:rsid w:val="003C6E4A"/>
    <w:rsid w:val="003C7171"/>
    <w:rsid w:val="003C788E"/>
    <w:rsid w:val="003C7B42"/>
    <w:rsid w:val="003C7C73"/>
    <w:rsid w:val="003C7D89"/>
    <w:rsid w:val="003C7E29"/>
    <w:rsid w:val="003C7E71"/>
    <w:rsid w:val="003C7FD3"/>
    <w:rsid w:val="003D074C"/>
    <w:rsid w:val="003D0779"/>
    <w:rsid w:val="003D0CDB"/>
    <w:rsid w:val="003D11F7"/>
    <w:rsid w:val="003D17D0"/>
    <w:rsid w:val="003D1800"/>
    <w:rsid w:val="003D1862"/>
    <w:rsid w:val="003D1BD5"/>
    <w:rsid w:val="003D1D2A"/>
    <w:rsid w:val="003D1D61"/>
    <w:rsid w:val="003D1D6E"/>
    <w:rsid w:val="003D1EBB"/>
    <w:rsid w:val="003D235F"/>
    <w:rsid w:val="003D2383"/>
    <w:rsid w:val="003D2E4D"/>
    <w:rsid w:val="003D2EC8"/>
    <w:rsid w:val="003D2F3E"/>
    <w:rsid w:val="003D371E"/>
    <w:rsid w:val="003D3970"/>
    <w:rsid w:val="003D40AA"/>
    <w:rsid w:val="003D41F2"/>
    <w:rsid w:val="003D429C"/>
    <w:rsid w:val="003D42C1"/>
    <w:rsid w:val="003D45FC"/>
    <w:rsid w:val="003D473B"/>
    <w:rsid w:val="003D4B5C"/>
    <w:rsid w:val="003D4C67"/>
    <w:rsid w:val="003D5360"/>
    <w:rsid w:val="003D5D0A"/>
    <w:rsid w:val="003D6A92"/>
    <w:rsid w:val="003D6BB2"/>
    <w:rsid w:val="003D6BFD"/>
    <w:rsid w:val="003D76BD"/>
    <w:rsid w:val="003D7AD9"/>
    <w:rsid w:val="003D7BD4"/>
    <w:rsid w:val="003D7E3D"/>
    <w:rsid w:val="003E0233"/>
    <w:rsid w:val="003E02B2"/>
    <w:rsid w:val="003E0498"/>
    <w:rsid w:val="003E04A4"/>
    <w:rsid w:val="003E0758"/>
    <w:rsid w:val="003E0A4E"/>
    <w:rsid w:val="003E1515"/>
    <w:rsid w:val="003E1AA0"/>
    <w:rsid w:val="003E1BA3"/>
    <w:rsid w:val="003E1FD7"/>
    <w:rsid w:val="003E2377"/>
    <w:rsid w:val="003E2470"/>
    <w:rsid w:val="003E262A"/>
    <w:rsid w:val="003E2745"/>
    <w:rsid w:val="003E2897"/>
    <w:rsid w:val="003E28F4"/>
    <w:rsid w:val="003E2A74"/>
    <w:rsid w:val="003E2ABD"/>
    <w:rsid w:val="003E2DC4"/>
    <w:rsid w:val="003E3371"/>
    <w:rsid w:val="003E3AAA"/>
    <w:rsid w:val="003E3BB1"/>
    <w:rsid w:val="003E3F2F"/>
    <w:rsid w:val="003E4135"/>
    <w:rsid w:val="003E44AB"/>
    <w:rsid w:val="003E4844"/>
    <w:rsid w:val="003E488A"/>
    <w:rsid w:val="003E49A9"/>
    <w:rsid w:val="003E4EB1"/>
    <w:rsid w:val="003E545A"/>
    <w:rsid w:val="003E5AC5"/>
    <w:rsid w:val="003E6682"/>
    <w:rsid w:val="003E67C7"/>
    <w:rsid w:val="003E6EE8"/>
    <w:rsid w:val="003E7754"/>
    <w:rsid w:val="003E77AD"/>
    <w:rsid w:val="003F0504"/>
    <w:rsid w:val="003F05E1"/>
    <w:rsid w:val="003F0C10"/>
    <w:rsid w:val="003F0F94"/>
    <w:rsid w:val="003F1042"/>
    <w:rsid w:val="003F1A12"/>
    <w:rsid w:val="003F1AB7"/>
    <w:rsid w:val="003F1DB5"/>
    <w:rsid w:val="003F1FDA"/>
    <w:rsid w:val="003F24EF"/>
    <w:rsid w:val="003F2C44"/>
    <w:rsid w:val="003F2E3C"/>
    <w:rsid w:val="003F340E"/>
    <w:rsid w:val="003F3454"/>
    <w:rsid w:val="003F3877"/>
    <w:rsid w:val="003F388D"/>
    <w:rsid w:val="003F3C89"/>
    <w:rsid w:val="003F4104"/>
    <w:rsid w:val="003F4124"/>
    <w:rsid w:val="003F413C"/>
    <w:rsid w:val="003F425C"/>
    <w:rsid w:val="003F42E2"/>
    <w:rsid w:val="003F439F"/>
    <w:rsid w:val="003F4437"/>
    <w:rsid w:val="003F454B"/>
    <w:rsid w:val="003F4751"/>
    <w:rsid w:val="003F489F"/>
    <w:rsid w:val="003F4C1A"/>
    <w:rsid w:val="003F509D"/>
    <w:rsid w:val="003F5372"/>
    <w:rsid w:val="003F563F"/>
    <w:rsid w:val="003F5754"/>
    <w:rsid w:val="003F5A66"/>
    <w:rsid w:val="003F61BF"/>
    <w:rsid w:val="003F6396"/>
    <w:rsid w:val="003F664A"/>
    <w:rsid w:val="003F72CE"/>
    <w:rsid w:val="003F72F1"/>
    <w:rsid w:val="003F76CB"/>
    <w:rsid w:val="003F7A32"/>
    <w:rsid w:val="003F7B98"/>
    <w:rsid w:val="0040009E"/>
    <w:rsid w:val="00400797"/>
    <w:rsid w:val="004007FC"/>
    <w:rsid w:val="004008EB"/>
    <w:rsid w:val="004012AB"/>
    <w:rsid w:val="0040132F"/>
    <w:rsid w:val="004014F1"/>
    <w:rsid w:val="004017C9"/>
    <w:rsid w:val="00401BE4"/>
    <w:rsid w:val="00401CB8"/>
    <w:rsid w:val="00401D65"/>
    <w:rsid w:val="004020E4"/>
    <w:rsid w:val="00402168"/>
    <w:rsid w:val="00402284"/>
    <w:rsid w:val="004022F6"/>
    <w:rsid w:val="004028A6"/>
    <w:rsid w:val="0040399D"/>
    <w:rsid w:val="0040475F"/>
    <w:rsid w:val="00404BBF"/>
    <w:rsid w:val="00404D8E"/>
    <w:rsid w:val="004050D7"/>
    <w:rsid w:val="00405126"/>
    <w:rsid w:val="00405513"/>
    <w:rsid w:val="004056AB"/>
    <w:rsid w:val="00405829"/>
    <w:rsid w:val="00406022"/>
    <w:rsid w:val="0040646E"/>
    <w:rsid w:val="00406768"/>
    <w:rsid w:val="004067E0"/>
    <w:rsid w:val="00406D3B"/>
    <w:rsid w:val="0040742C"/>
    <w:rsid w:val="00407A3D"/>
    <w:rsid w:val="00407B89"/>
    <w:rsid w:val="00407C42"/>
    <w:rsid w:val="00410156"/>
    <w:rsid w:val="00410AE4"/>
    <w:rsid w:val="00410C50"/>
    <w:rsid w:val="00410CE3"/>
    <w:rsid w:val="00410E9A"/>
    <w:rsid w:val="00411491"/>
    <w:rsid w:val="00411971"/>
    <w:rsid w:val="00411E91"/>
    <w:rsid w:val="00411F2D"/>
    <w:rsid w:val="00412000"/>
    <w:rsid w:val="004121B7"/>
    <w:rsid w:val="00412382"/>
    <w:rsid w:val="0041239B"/>
    <w:rsid w:val="004127A6"/>
    <w:rsid w:val="00412871"/>
    <w:rsid w:val="00412C71"/>
    <w:rsid w:val="00412E28"/>
    <w:rsid w:val="00412FC6"/>
    <w:rsid w:val="0041311D"/>
    <w:rsid w:val="00413230"/>
    <w:rsid w:val="004132A4"/>
    <w:rsid w:val="0041364C"/>
    <w:rsid w:val="004137F6"/>
    <w:rsid w:val="00413960"/>
    <w:rsid w:val="00413EAF"/>
    <w:rsid w:val="00413F3C"/>
    <w:rsid w:val="0041427A"/>
    <w:rsid w:val="0041450D"/>
    <w:rsid w:val="00414C2B"/>
    <w:rsid w:val="00414EE7"/>
    <w:rsid w:val="00414FC0"/>
    <w:rsid w:val="00415188"/>
    <w:rsid w:val="004151C8"/>
    <w:rsid w:val="004155B8"/>
    <w:rsid w:val="004155BD"/>
    <w:rsid w:val="00415A13"/>
    <w:rsid w:val="00415D11"/>
    <w:rsid w:val="00415D5F"/>
    <w:rsid w:val="00416459"/>
    <w:rsid w:val="004168E9"/>
    <w:rsid w:val="00416AA8"/>
    <w:rsid w:val="00416CF9"/>
    <w:rsid w:val="00417412"/>
    <w:rsid w:val="00417435"/>
    <w:rsid w:val="004175DB"/>
    <w:rsid w:val="00417F15"/>
    <w:rsid w:val="00420104"/>
    <w:rsid w:val="00420198"/>
    <w:rsid w:val="004201DF"/>
    <w:rsid w:val="00420706"/>
    <w:rsid w:val="00420C04"/>
    <w:rsid w:val="00420F02"/>
    <w:rsid w:val="004211EE"/>
    <w:rsid w:val="0042199C"/>
    <w:rsid w:val="00421EA7"/>
    <w:rsid w:val="0042201D"/>
    <w:rsid w:val="0042202A"/>
    <w:rsid w:val="00422380"/>
    <w:rsid w:val="00422654"/>
    <w:rsid w:val="004226D4"/>
    <w:rsid w:val="00422786"/>
    <w:rsid w:val="004229A2"/>
    <w:rsid w:val="00422BD2"/>
    <w:rsid w:val="00422C12"/>
    <w:rsid w:val="00422CAC"/>
    <w:rsid w:val="00422CF9"/>
    <w:rsid w:val="004230B2"/>
    <w:rsid w:val="00423228"/>
    <w:rsid w:val="00423366"/>
    <w:rsid w:val="004233DF"/>
    <w:rsid w:val="00423471"/>
    <w:rsid w:val="00423505"/>
    <w:rsid w:val="0042357F"/>
    <w:rsid w:val="004239AD"/>
    <w:rsid w:val="004243C1"/>
    <w:rsid w:val="00424918"/>
    <w:rsid w:val="00424995"/>
    <w:rsid w:val="004249CE"/>
    <w:rsid w:val="00424BF6"/>
    <w:rsid w:val="00424F05"/>
    <w:rsid w:val="00425115"/>
    <w:rsid w:val="004251D9"/>
    <w:rsid w:val="00425439"/>
    <w:rsid w:val="004259C0"/>
    <w:rsid w:val="00425BCC"/>
    <w:rsid w:val="004265E7"/>
    <w:rsid w:val="004267B4"/>
    <w:rsid w:val="00426C84"/>
    <w:rsid w:val="00427710"/>
    <w:rsid w:val="0042787A"/>
    <w:rsid w:val="004303D0"/>
    <w:rsid w:val="004304CE"/>
    <w:rsid w:val="0043079D"/>
    <w:rsid w:val="00430AF6"/>
    <w:rsid w:val="00431175"/>
    <w:rsid w:val="0043126C"/>
    <w:rsid w:val="0043175B"/>
    <w:rsid w:val="0043198C"/>
    <w:rsid w:val="00431F0E"/>
    <w:rsid w:val="004321EF"/>
    <w:rsid w:val="004322D1"/>
    <w:rsid w:val="0043234F"/>
    <w:rsid w:val="0043250E"/>
    <w:rsid w:val="004329D9"/>
    <w:rsid w:val="00432A69"/>
    <w:rsid w:val="004330F4"/>
    <w:rsid w:val="004332CD"/>
    <w:rsid w:val="00433658"/>
    <w:rsid w:val="00433704"/>
    <w:rsid w:val="00433835"/>
    <w:rsid w:val="00433945"/>
    <w:rsid w:val="00433A78"/>
    <w:rsid w:val="00433D5C"/>
    <w:rsid w:val="00434451"/>
    <w:rsid w:val="0043469A"/>
    <w:rsid w:val="004347BB"/>
    <w:rsid w:val="00434BE1"/>
    <w:rsid w:val="00434C9D"/>
    <w:rsid w:val="0043504E"/>
    <w:rsid w:val="0043590C"/>
    <w:rsid w:val="00436417"/>
    <w:rsid w:val="0043754A"/>
    <w:rsid w:val="00437F1B"/>
    <w:rsid w:val="00440260"/>
    <w:rsid w:val="0044075D"/>
    <w:rsid w:val="00440B2C"/>
    <w:rsid w:val="00440DF3"/>
    <w:rsid w:val="00441230"/>
    <w:rsid w:val="0044132B"/>
    <w:rsid w:val="004414EA"/>
    <w:rsid w:val="004421A7"/>
    <w:rsid w:val="004424B8"/>
    <w:rsid w:val="004425AC"/>
    <w:rsid w:val="0044298C"/>
    <w:rsid w:val="004429EC"/>
    <w:rsid w:val="00442A24"/>
    <w:rsid w:val="00442E7B"/>
    <w:rsid w:val="00443680"/>
    <w:rsid w:val="00443ADC"/>
    <w:rsid w:val="00443E58"/>
    <w:rsid w:val="00443F5D"/>
    <w:rsid w:val="0044468D"/>
    <w:rsid w:val="00444EFE"/>
    <w:rsid w:val="00444FB9"/>
    <w:rsid w:val="00445211"/>
    <w:rsid w:val="00445357"/>
    <w:rsid w:val="004453F5"/>
    <w:rsid w:val="00445542"/>
    <w:rsid w:val="0044558F"/>
    <w:rsid w:val="00445784"/>
    <w:rsid w:val="00445A48"/>
    <w:rsid w:val="00445A9C"/>
    <w:rsid w:val="0044623C"/>
    <w:rsid w:val="004463CA"/>
    <w:rsid w:val="004467C4"/>
    <w:rsid w:val="00446D3D"/>
    <w:rsid w:val="00446DC4"/>
    <w:rsid w:val="00446F47"/>
    <w:rsid w:val="00446FBA"/>
    <w:rsid w:val="00447250"/>
    <w:rsid w:val="0044726C"/>
    <w:rsid w:val="004476FE"/>
    <w:rsid w:val="004507E4"/>
    <w:rsid w:val="00450A36"/>
    <w:rsid w:val="00450A78"/>
    <w:rsid w:val="00450C45"/>
    <w:rsid w:val="00450CDF"/>
    <w:rsid w:val="00450D3C"/>
    <w:rsid w:val="00450D8B"/>
    <w:rsid w:val="00451EA1"/>
    <w:rsid w:val="00452282"/>
    <w:rsid w:val="0045271A"/>
    <w:rsid w:val="00452FDB"/>
    <w:rsid w:val="00453200"/>
    <w:rsid w:val="00453656"/>
    <w:rsid w:val="004539C7"/>
    <w:rsid w:val="00453C66"/>
    <w:rsid w:val="00453E3A"/>
    <w:rsid w:val="00453EF8"/>
    <w:rsid w:val="00454299"/>
    <w:rsid w:val="00454483"/>
    <w:rsid w:val="00454877"/>
    <w:rsid w:val="00454934"/>
    <w:rsid w:val="00454AB8"/>
    <w:rsid w:val="00455411"/>
    <w:rsid w:val="00455843"/>
    <w:rsid w:val="0045588A"/>
    <w:rsid w:val="00455B58"/>
    <w:rsid w:val="00455EAD"/>
    <w:rsid w:val="0045616D"/>
    <w:rsid w:val="00456230"/>
    <w:rsid w:val="004569DD"/>
    <w:rsid w:val="00456AFB"/>
    <w:rsid w:val="00456AFF"/>
    <w:rsid w:val="00456E9E"/>
    <w:rsid w:val="00456EB2"/>
    <w:rsid w:val="0045701E"/>
    <w:rsid w:val="004570FF"/>
    <w:rsid w:val="00457635"/>
    <w:rsid w:val="00457915"/>
    <w:rsid w:val="00457C59"/>
    <w:rsid w:val="00457C5E"/>
    <w:rsid w:val="00457F5E"/>
    <w:rsid w:val="0046004B"/>
    <w:rsid w:val="0046011B"/>
    <w:rsid w:val="004605BE"/>
    <w:rsid w:val="0046077D"/>
    <w:rsid w:val="00460889"/>
    <w:rsid w:val="004609A0"/>
    <w:rsid w:val="004612FD"/>
    <w:rsid w:val="00461B22"/>
    <w:rsid w:val="00462977"/>
    <w:rsid w:val="00462FA7"/>
    <w:rsid w:val="00463004"/>
    <w:rsid w:val="00463620"/>
    <w:rsid w:val="00463674"/>
    <w:rsid w:val="00463CD9"/>
    <w:rsid w:val="00464206"/>
    <w:rsid w:val="004642C8"/>
    <w:rsid w:val="00464688"/>
    <w:rsid w:val="004646EA"/>
    <w:rsid w:val="00464933"/>
    <w:rsid w:val="0046499B"/>
    <w:rsid w:val="00464BEB"/>
    <w:rsid w:val="00464C13"/>
    <w:rsid w:val="00464C75"/>
    <w:rsid w:val="00464F8C"/>
    <w:rsid w:val="00465253"/>
    <w:rsid w:val="00465789"/>
    <w:rsid w:val="004659CD"/>
    <w:rsid w:val="00465B7D"/>
    <w:rsid w:val="00465D2A"/>
    <w:rsid w:val="00465E48"/>
    <w:rsid w:val="004662AB"/>
    <w:rsid w:val="00466312"/>
    <w:rsid w:val="00466488"/>
    <w:rsid w:val="00466D24"/>
    <w:rsid w:val="0046727C"/>
    <w:rsid w:val="00467755"/>
    <w:rsid w:val="004677CE"/>
    <w:rsid w:val="00467D8E"/>
    <w:rsid w:val="00467DBD"/>
    <w:rsid w:val="00467E07"/>
    <w:rsid w:val="00470211"/>
    <w:rsid w:val="004702EE"/>
    <w:rsid w:val="004703E2"/>
    <w:rsid w:val="0047075A"/>
    <w:rsid w:val="00470B6F"/>
    <w:rsid w:val="00470E94"/>
    <w:rsid w:val="004712C0"/>
    <w:rsid w:val="0047174F"/>
    <w:rsid w:val="00471856"/>
    <w:rsid w:val="004719CA"/>
    <w:rsid w:val="00471B59"/>
    <w:rsid w:val="00471D51"/>
    <w:rsid w:val="004720DB"/>
    <w:rsid w:val="00472520"/>
    <w:rsid w:val="0047265C"/>
    <w:rsid w:val="0047272A"/>
    <w:rsid w:val="00472730"/>
    <w:rsid w:val="004727CA"/>
    <w:rsid w:val="00472B6F"/>
    <w:rsid w:val="00472DA7"/>
    <w:rsid w:val="00472F61"/>
    <w:rsid w:val="004736C1"/>
    <w:rsid w:val="0047370B"/>
    <w:rsid w:val="00473A61"/>
    <w:rsid w:val="00473D02"/>
    <w:rsid w:val="004740E1"/>
    <w:rsid w:val="00474C63"/>
    <w:rsid w:val="00474F03"/>
    <w:rsid w:val="004750F8"/>
    <w:rsid w:val="004757AD"/>
    <w:rsid w:val="00475FDF"/>
    <w:rsid w:val="004761E0"/>
    <w:rsid w:val="004764D9"/>
    <w:rsid w:val="00476781"/>
    <w:rsid w:val="00476AAB"/>
    <w:rsid w:val="00476CEE"/>
    <w:rsid w:val="0047710F"/>
    <w:rsid w:val="004776D7"/>
    <w:rsid w:val="004777CB"/>
    <w:rsid w:val="0048067C"/>
    <w:rsid w:val="00480951"/>
    <w:rsid w:val="004809C2"/>
    <w:rsid w:val="00480C8E"/>
    <w:rsid w:val="0048117D"/>
    <w:rsid w:val="00481A19"/>
    <w:rsid w:val="00481BD0"/>
    <w:rsid w:val="00481FB7"/>
    <w:rsid w:val="00482214"/>
    <w:rsid w:val="0048242B"/>
    <w:rsid w:val="0048247A"/>
    <w:rsid w:val="004827A0"/>
    <w:rsid w:val="0048284D"/>
    <w:rsid w:val="004834A6"/>
    <w:rsid w:val="0048429B"/>
    <w:rsid w:val="0048464A"/>
    <w:rsid w:val="004846F5"/>
    <w:rsid w:val="00484750"/>
    <w:rsid w:val="00484792"/>
    <w:rsid w:val="00484DA4"/>
    <w:rsid w:val="00484DFC"/>
    <w:rsid w:val="00485146"/>
    <w:rsid w:val="00485263"/>
    <w:rsid w:val="00485368"/>
    <w:rsid w:val="00485448"/>
    <w:rsid w:val="00485515"/>
    <w:rsid w:val="00486154"/>
    <w:rsid w:val="00486333"/>
    <w:rsid w:val="004866B1"/>
    <w:rsid w:val="0048693F"/>
    <w:rsid w:val="004869C5"/>
    <w:rsid w:val="00486DD6"/>
    <w:rsid w:val="00486EBC"/>
    <w:rsid w:val="00487170"/>
    <w:rsid w:val="0048739C"/>
    <w:rsid w:val="00487435"/>
    <w:rsid w:val="00487570"/>
    <w:rsid w:val="00487589"/>
    <w:rsid w:val="0048777E"/>
    <w:rsid w:val="00487A76"/>
    <w:rsid w:val="00487F91"/>
    <w:rsid w:val="00490D29"/>
    <w:rsid w:val="0049103C"/>
    <w:rsid w:val="004912FA"/>
    <w:rsid w:val="00491318"/>
    <w:rsid w:val="00491361"/>
    <w:rsid w:val="004917AE"/>
    <w:rsid w:val="00491B49"/>
    <w:rsid w:val="00491C3B"/>
    <w:rsid w:val="00491E69"/>
    <w:rsid w:val="00492017"/>
    <w:rsid w:val="00492026"/>
    <w:rsid w:val="00492069"/>
    <w:rsid w:val="00492253"/>
    <w:rsid w:val="00492433"/>
    <w:rsid w:val="004927B5"/>
    <w:rsid w:val="00492EF3"/>
    <w:rsid w:val="00493027"/>
    <w:rsid w:val="0049322F"/>
    <w:rsid w:val="0049394B"/>
    <w:rsid w:val="00494021"/>
    <w:rsid w:val="00494933"/>
    <w:rsid w:val="00494F4E"/>
    <w:rsid w:val="00495F51"/>
    <w:rsid w:val="00495F88"/>
    <w:rsid w:val="00496694"/>
    <w:rsid w:val="00496776"/>
    <w:rsid w:val="0049686D"/>
    <w:rsid w:val="00496E27"/>
    <w:rsid w:val="00497496"/>
    <w:rsid w:val="0049765B"/>
    <w:rsid w:val="004977A5"/>
    <w:rsid w:val="00497E6E"/>
    <w:rsid w:val="004A0097"/>
    <w:rsid w:val="004A0596"/>
    <w:rsid w:val="004A06D9"/>
    <w:rsid w:val="004A0DA0"/>
    <w:rsid w:val="004A127F"/>
    <w:rsid w:val="004A1468"/>
    <w:rsid w:val="004A1535"/>
    <w:rsid w:val="004A1974"/>
    <w:rsid w:val="004A1B29"/>
    <w:rsid w:val="004A1CB5"/>
    <w:rsid w:val="004A1DC8"/>
    <w:rsid w:val="004A1E2C"/>
    <w:rsid w:val="004A215B"/>
    <w:rsid w:val="004A233A"/>
    <w:rsid w:val="004A246D"/>
    <w:rsid w:val="004A25FD"/>
    <w:rsid w:val="004A2F1D"/>
    <w:rsid w:val="004A2FB1"/>
    <w:rsid w:val="004A322E"/>
    <w:rsid w:val="004A37C6"/>
    <w:rsid w:val="004A3C62"/>
    <w:rsid w:val="004A41FA"/>
    <w:rsid w:val="004A4266"/>
    <w:rsid w:val="004A462D"/>
    <w:rsid w:val="004A499D"/>
    <w:rsid w:val="004A4DB1"/>
    <w:rsid w:val="004A5200"/>
    <w:rsid w:val="004A528B"/>
    <w:rsid w:val="004A5655"/>
    <w:rsid w:val="004A5658"/>
    <w:rsid w:val="004A5807"/>
    <w:rsid w:val="004A5814"/>
    <w:rsid w:val="004A58AE"/>
    <w:rsid w:val="004A5D07"/>
    <w:rsid w:val="004A6056"/>
    <w:rsid w:val="004A6144"/>
    <w:rsid w:val="004A6438"/>
    <w:rsid w:val="004A67F0"/>
    <w:rsid w:val="004A6A01"/>
    <w:rsid w:val="004A71D0"/>
    <w:rsid w:val="004A756C"/>
    <w:rsid w:val="004A79CD"/>
    <w:rsid w:val="004A7B89"/>
    <w:rsid w:val="004A7E34"/>
    <w:rsid w:val="004B0427"/>
    <w:rsid w:val="004B0696"/>
    <w:rsid w:val="004B0A24"/>
    <w:rsid w:val="004B0BF6"/>
    <w:rsid w:val="004B0DE5"/>
    <w:rsid w:val="004B138A"/>
    <w:rsid w:val="004B187E"/>
    <w:rsid w:val="004B1B2A"/>
    <w:rsid w:val="004B1CFD"/>
    <w:rsid w:val="004B1D3E"/>
    <w:rsid w:val="004B227D"/>
    <w:rsid w:val="004B23F6"/>
    <w:rsid w:val="004B27CC"/>
    <w:rsid w:val="004B288A"/>
    <w:rsid w:val="004B2D23"/>
    <w:rsid w:val="004B322D"/>
    <w:rsid w:val="004B344F"/>
    <w:rsid w:val="004B3EFB"/>
    <w:rsid w:val="004B40AF"/>
    <w:rsid w:val="004B414A"/>
    <w:rsid w:val="004B464B"/>
    <w:rsid w:val="004B4D13"/>
    <w:rsid w:val="004B4D6C"/>
    <w:rsid w:val="004B586F"/>
    <w:rsid w:val="004B5918"/>
    <w:rsid w:val="004B5E8F"/>
    <w:rsid w:val="004B5FB8"/>
    <w:rsid w:val="004B5FE1"/>
    <w:rsid w:val="004B61CB"/>
    <w:rsid w:val="004B64EE"/>
    <w:rsid w:val="004B6598"/>
    <w:rsid w:val="004B6609"/>
    <w:rsid w:val="004B6B59"/>
    <w:rsid w:val="004B6CCA"/>
    <w:rsid w:val="004B6F52"/>
    <w:rsid w:val="004B71AC"/>
    <w:rsid w:val="004B75EE"/>
    <w:rsid w:val="004B78EC"/>
    <w:rsid w:val="004B7B46"/>
    <w:rsid w:val="004B7C7E"/>
    <w:rsid w:val="004B7F09"/>
    <w:rsid w:val="004B7F97"/>
    <w:rsid w:val="004C00BB"/>
    <w:rsid w:val="004C0412"/>
    <w:rsid w:val="004C06B1"/>
    <w:rsid w:val="004C06F0"/>
    <w:rsid w:val="004C07A6"/>
    <w:rsid w:val="004C08F4"/>
    <w:rsid w:val="004C08FA"/>
    <w:rsid w:val="004C0DCD"/>
    <w:rsid w:val="004C114C"/>
    <w:rsid w:val="004C1461"/>
    <w:rsid w:val="004C18FF"/>
    <w:rsid w:val="004C1E3F"/>
    <w:rsid w:val="004C21F7"/>
    <w:rsid w:val="004C2882"/>
    <w:rsid w:val="004C298D"/>
    <w:rsid w:val="004C2C3A"/>
    <w:rsid w:val="004C30D4"/>
    <w:rsid w:val="004C3D55"/>
    <w:rsid w:val="004C42CD"/>
    <w:rsid w:val="004C446A"/>
    <w:rsid w:val="004C4A87"/>
    <w:rsid w:val="004C4AE8"/>
    <w:rsid w:val="004C4DA8"/>
    <w:rsid w:val="004C4DD5"/>
    <w:rsid w:val="004C5925"/>
    <w:rsid w:val="004C5B74"/>
    <w:rsid w:val="004C5CAF"/>
    <w:rsid w:val="004C5D86"/>
    <w:rsid w:val="004C6581"/>
    <w:rsid w:val="004C6585"/>
    <w:rsid w:val="004C6EB2"/>
    <w:rsid w:val="004C6F09"/>
    <w:rsid w:val="004C7104"/>
    <w:rsid w:val="004C725C"/>
    <w:rsid w:val="004C774F"/>
    <w:rsid w:val="004C793C"/>
    <w:rsid w:val="004C7AAB"/>
    <w:rsid w:val="004D0248"/>
    <w:rsid w:val="004D02C4"/>
    <w:rsid w:val="004D0330"/>
    <w:rsid w:val="004D07F6"/>
    <w:rsid w:val="004D0AE1"/>
    <w:rsid w:val="004D0F30"/>
    <w:rsid w:val="004D18B8"/>
    <w:rsid w:val="004D18C9"/>
    <w:rsid w:val="004D25BA"/>
    <w:rsid w:val="004D27E8"/>
    <w:rsid w:val="004D281B"/>
    <w:rsid w:val="004D2902"/>
    <w:rsid w:val="004D2A1C"/>
    <w:rsid w:val="004D2B97"/>
    <w:rsid w:val="004D2F05"/>
    <w:rsid w:val="004D32A4"/>
    <w:rsid w:val="004D33E9"/>
    <w:rsid w:val="004D34AB"/>
    <w:rsid w:val="004D36AD"/>
    <w:rsid w:val="004D36F6"/>
    <w:rsid w:val="004D3F3F"/>
    <w:rsid w:val="004D425E"/>
    <w:rsid w:val="004D456C"/>
    <w:rsid w:val="004D478D"/>
    <w:rsid w:val="004D48ED"/>
    <w:rsid w:val="004D48F6"/>
    <w:rsid w:val="004D4B72"/>
    <w:rsid w:val="004D4E12"/>
    <w:rsid w:val="004D5049"/>
    <w:rsid w:val="004D50DE"/>
    <w:rsid w:val="004D5AEF"/>
    <w:rsid w:val="004D619E"/>
    <w:rsid w:val="004D62CC"/>
    <w:rsid w:val="004D6412"/>
    <w:rsid w:val="004D69DA"/>
    <w:rsid w:val="004D6A68"/>
    <w:rsid w:val="004D6E73"/>
    <w:rsid w:val="004D6ECF"/>
    <w:rsid w:val="004D6F0C"/>
    <w:rsid w:val="004D70AF"/>
    <w:rsid w:val="004D7957"/>
    <w:rsid w:val="004D7B59"/>
    <w:rsid w:val="004E0315"/>
    <w:rsid w:val="004E05D7"/>
    <w:rsid w:val="004E0FD3"/>
    <w:rsid w:val="004E102B"/>
    <w:rsid w:val="004E108A"/>
    <w:rsid w:val="004E11AA"/>
    <w:rsid w:val="004E11B1"/>
    <w:rsid w:val="004E13EA"/>
    <w:rsid w:val="004E14D7"/>
    <w:rsid w:val="004E1734"/>
    <w:rsid w:val="004E1742"/>
    <w:rsid w:val="004E1936"/>
    <w:rsid w:val="004E21D3"/>
    <w:rsid w:val="004E21D9"/>
    <w:rsid w:val="004E22DD"/>
    <w:rsid w:val="004E249B"/>
    <w:rsid w:val="004E2D42"/>
    <w:rsid w:val="004E2E42"/>
    <w:rsid w:val="004E31B6"/>
    <w:rsid w:val="004E327E"/>
    <w:rsid w:val="004E3483"/>
    <w:rsid w:val="004E3701"/>
    <w:rsid w:val="004E38C6"/>
    <w:rsid w:val="004E3A01"/>
    <w:rsid w:val="004E49E7"/>
    <w:rsid w:val="004E5395"/>
    <w:rsid w:val="004E5563"/>
    <w:rsid w:val="004E55E9"/>
    <w:rsid w:val="004E5600"/>
    <w:rsid w:val="004E5683"/>
    <w:rsid w:val="004E59FD"/>
    <w:rsid w:val="004E5A92"/>
    <w:rsid w:val="004E5D25"/>
    <w:rsid w:val="004E5ED5"/>
    <w:rsid w:val="004E659E"/>
    <w:rsid w:val="004E6883"/>
    <w:rsid w:val="004E6F5F"/>
    <w:rsid w:val="004E74A3"/>
    <w:rsid w:val="004E74A6"/>
    <w:rsid w:val="004E78CA"/>
    <w:rsid w:val="004E7CF8"/>
    <w:rsid w:val="004E7D59"/>
    <w:rsid w:val="004E7D62"/>
    <w:rsid w:val="004E7D67"/>
    <w:rsid w:val="004E7E14"/>
    <w:rsid w:val="004E7EC7"/>
    <w:rsid w:val="004F03C7"/>
    <w:rsid w:val="004F0668"/>
    <w:rsid w:val="004F0BA0"/>
    <w:rsid w:val="004F10E3"/>
    <w:rsid w:val="004F152A"/>
    <w:rsid w:val="004F1576"/>
    <w:rsid w:val="004F160F"/>
    <w:rsid w:val="004F1635"/>
    <w:rsid w:val="004F1B93"/>
    <w:rsid w:val="004F1BC2"/>
    <w:rsid w:val="004F2514"/>
    <w:rsid w:val="004F29A2"/>
    <w:rsid w:val="004F29CB"/>
    <w:rsid w:val="004F2B49"/>
    <w:rsid w:val="004F2DD3"/>
    <w:rsid w:val="004F2FDE"/>
    <w:rsid w:val="004F37F4"/>
    <w:rsid w:val="004F4430"/>
    <w:rsid w:val="004F48B9"/>
    <w:rsid w:val="004F4B16"/>
    <w:rsid w:val="004F4F39"/>
    <w:rsid w:val="004F5184"/>
    <w:rsid w:val="004F5424"/>
    <w:rsid w:val="004F586E"/>
    <w:rsid w:val="004F5A08"/>
    <w:rsid w:val="004F5A96"/>
    <w:rsid w:val="004F5BD0"/>
    <w:rsid w:val="004F5C40"/>
    <w:rsid w:val="004F5E87"/>
    <w:rsid w:val="004F5F6E"/>
    <w:rsid w:val="004F63E0"/>
    <w:rsid w:val="004F6524"/>
    <w:rsid w:val="004F6546"/>
    <w:rsid w:val="004F6F20"/>
    <w:rsid w:val="004F7088"/>
    <w:rsid w:val="004F7687"/>
    <w:rsid w:val="004F7716"/>
    <w:rsid w:val="004F78EC"/>
    <w:rsid w:val="004F7BC4"/>
    <w:rsid w:val="004F7F68"/>
    <w:rsid w:val="005004B7"/>
    <w:rsid w:val="0050063D"/>
    <w:rsid w:val="005007D3"/>
    <w:rsid w:val="005007E0"/>
    <w:rsid w:val="005008D0"/>
    <w:rsid w:val="00500C78"/>
    <w:rsid w:val="00501DE7"/>
    <w:rsid w:val="00503495"/>
    <w:rsid w:val="005036FE"/>
    <w:rsid w:val="00503B1D"/>
    <w:rsid w:val="00504421"/>
    <w:rsid w:val="0050444A"/>
    <w:rsid w:val="00504491"/>
    <w:rsid w:val="005050B1"/>
    <w:rsid w:val="005055D6"/>
    <w:rsid w:val="0050577A"/>
    <w:rsid w:val="0050581E"/>
    <w:rsid w:val="0050583A"/>
    <w:rsid w:val="00505849"/>
    <w:rsid w:val="00505F9F"/>
    <w:rsid w:val="00506012"/>
    <w:rsid w:val="0050605A"/>
    <w:rsid w:val="0050638A"/>
    <w:rsid w:val="00506423"/>
    <w:rsid w:val="00506465"/>
    <w:rsid w:val="005064F2"/>
    <w:rsid w:val="00506816"/>
    <w:rsid w:val="005069E2"/>
    <w:rsid w:val="00506ABA"/>
    <w:rsid w:val="00506AEE"/>
    <w:rsid w:val="00506BC9"/>
    <w:rsid w:val="00506C94"/>
    <w:rsid w:val="00507506"/>
    <w:rsid w:val="00507AAE"/>
    <w:rsid w:val="00507B40"/>
    <w:rsid w:val="00507C4B"/>
    <w:rsid w:val="00507D59"/>
    <w:rsid w:val="00507FA4"/>
    <w:rsid w:val="005106B2"/>
    <w:rsid w:val="00510A32"/>
    <w:rsid w:val="00510EA0"/>
    <w:rsid w:val="0051125A"/>
    <w:rsid w:val="005115BF"/>
    <w:rsid w:val="005117DE"/>
    <w:rsid w:val="00511A4A"/>
    <w:rsid w:val="00511AA0"/>
    <w:rsid w:val="00511EB0"/>
    <w:rsid w:val="00512042"/>
    <w:rsid w:val="005122D0"/>
    <w:rsid w:val="00512BBC"/>
    <w:rsid w:val="00512D00"/>
    <w:rsid w:val="00512F39"/>
    <w:rsid w:val="005131E9"/>
    <w:rsid w:val="00513237"/>
    <w:rsid w:val="00513398"/>
    <w:rsid w:val="00513444"/>
    <w:rsid w:val="00513530"/>
    <w:rsid w:val="005135FB"/>
    <w:rsid w:val="0051372E"/>
    <w:rsid w:val="005137A8"/>
    <w:rsid w:val="005137E0"/>
    <w:rsid w:val="00513A32"/>
    <w:rsid w:val="00513B66"/>
    <w:rsid w:val="0051406A"/>
    <w:rsid w:val="005141F4"/>
    <w:rsid w:val="0051469B"/>
    <w:rsid w:val="00514AEF"/>
    <w:rsid w:val="00514C40"/>
    <w:rsid w:val="00514F83"/>
    <w:rsid w:val="00515308"/>
    <w:rsid w:val="005153D0"/>
    <w:rsid w:val="00516883"/>
    <w:rsid w:val="00516EE8"/>
    <w:rsid w:val="00516FBB"/>
    <w:rsid w:val="005173D6"/>
    <w:rsid w:val="00517525"/>
    <w:rsid w:val="0051793B"/>
    <w:rsid w:val="00517A2D"/>
    <w:rsid w:val="0052028C"/>
    <w:rsid w:val="00520358"/>
    <w:rsid w:val="00520455"/>
    <w:rsid w:val="00520664"/>
    <w:rsid w:val="0052075C"/>
    <w:rsid w:val="005208C0"/>
    <w:rsid w:val="00521618"/>
    <w:rsid w:val="00521AA1"/>
    <w:rsid w:val="00521CD8"/>
    <w:rsid w:val="00522162"/>
    <w:rsid w:val="00522232"/>
    <w:rsid w:val="00522247"/>
    <w:rsid w:val="005227AA"/>
    <w:rsid w:val="00522A42"/>
    <w:rsid w:val="00523148"/>
    <w:rsid w:val="00523698"/>
    <w:rsid w:val="00523A2E"/>
    <w:rsid w:val="00523E4D"/>
    <w:rsid w:val="00524502"/>
    <w:rsid w:val="005245FD"/>
    <w:rsid w:val="0052460E"/>
    <w:rsid w:val="00524DB0"/>
    <w:rsid w:val="0052551F"/>
    <w:rsid w:val="00525D05"/>
    <w:rsid w:val="00526120"/>
    <w:rsid w:val="00526132"/>
    <w:rsid w:val="0052622B"/>
    <w:rsid w:val="005262D3"/>
    <w:rsid w:val="005265A8"/>
    <w:rsid w:val="00526B58"/>
    <w:rsid w:val="00526D4B"/>
    <w:rsid w:val="00526DDF"/>
    <w:rsid w:val="00526DF0"/>
    <w:rsid w:val="00526E2D"/>
    <w:rsid w:val="00527075"/>
    <w:rsid w:val="00527275"/>
    <w:rsid w:val="00527636"/>
    <w:rsid w:val="005276A5"/>
    <w:rsid w:val="0053034D"/>
    <w:rsid w:val="005307CB"/>
    <w:rsid w:val="005308A3"/>
    <w:rsid w:val="005310DE"/>
    <w:rsid w:val="00531801"/>
    <w:rsid w:val="0053193B"/>
    <w:rsid w:val="00531968"/>
    <w:rsid w:val="00531C4E"/>
    <w:rsid w:val="005320A9"/>
    <w:rsid w:val="005321C3"/>
    <w:rsid w:val="0053235C"/>
    <w:rsid w:val="00532CE9"/>
    <w:rsid w:val="0053349C"/>
    <w:rsid w:val="0053397E"/>
    <w:rsid w:val="00533D96"/>
    <w:rsid w:val="0053402B"/>
    <w:rsid w:val="005340E3"/>
    <w:rsid w:val="0053478A"/>
    <w:rsid w:val="00534CF7"/>
    <w:rsid w:val="00535398"/>
    <w:rsid w:val="0053549C"/>
    <w:rsid w:val="0053635F"/>
    <w:rsid w:val="005364C2"/>
    <w:rsid w:val="00536662"/>
    <w:rsid w:val="005367C1"/>
    <w:rsid w:val="00536900"/>
    <w:rsid w:val="00536A55"/>
    <w:rsid w:val="005375E8"/>
    <w:rsid w:val="00537943"/>
    <w:rsid w:val="00537A00"/>
    <w:rsid w:val="00537BC9"/>
    <w:rsid w:val="00540149"/>
    <w:rsid w:val="00540170"/>
    <w:rsid w:val="00540598"/>
    <w:rsid w:val="00540613"/>
    <w:rsid w:val="00540A69"/>
    <w:rsid w:val="00540F07"/>
    <w:rsid w:val="00541298"/>
    <w:rsid w:val="00541659"/>
    <w:rsid w:val="0054186C"/>
    <w:rsid w:val="00541972"/>
    <w:rsid w:val="00541C9A"/>
    <w:rsid w:val="00541E29"/>
    <w:rsid w:val="00541EF4"/>
    <w:rsid w:val="00542203"/>
    <w:rsid w:val="005424AA"/>
    <w:rsid w:val="005424B3"/>
    <w:rsid w:val="005424D6"/>
    <w:rsid w:val="0054266E"/>
    <w:rsid w:val="005429D7"/>
    <w:rsid w:val="00542F77"/>
    <w:rsid w:val="00543530"/>
    <w:rsid w:val="005440C9"/>
    <w:rsid w:val="0054424B"/>
    <w:rsid w:val="005443D3"/>
    <w:rsid w:val="0054440A"/>
    <w:rsid w:val="00544592"/>
    <w:rsid w:val="005447F0"/>
    <w:rsid w:val="00544A18"/>
    <w:rsid w:val="0054505C"/>
    <w:rsid w:val="00545511"/>
    <w:rsid w:val="005455B8"/>
    <w:rsid w:val="00545714"/>
    <w:rsid w:val="00546200"/>
    <w:rsid w:val="00546425"/>
    <w:rsid w:val="0054647E"/>
    <w:rsid w:val="00546808"/>
    <w:rsid w:val="00547028"/>
    <w:rsid w:val="0054749C"/>
    <w:rsid w:val="005477EB"/>
    <w:rsid w:val="00547896"/>
    <w:rsid w:val="005478C0"/>
    <w:rsid w:val="005479FA"/>
    <w:rsid w:val="00547C0C"/>
    <w:rsid w:val="00547C8B"/>
    <w:rsid w:val="00547E64"/>
    <w:rsid w:val="00547E9B"/>
    <w:rsid w:val="005500BA"/>
    <w:rsid w:val="00550293"/>
    <w:rsid w:val="00550DAC"/>
    <w:rsid w:val="00551223"/>
    <w:rsid w:val="005516D8"/>
    <w:rsid w:val="005517F1"/>
    <w:rsid w:val="005517F7"/>
    <w:rsid w:val="005518BB"/>
    <w:rsid w:val="00551D49"/>
    <w:rsid w:val="00551F43"/>
    <w:rsid w:val="0055288A"/>
    <w:rsid w:val="00552DF9"/>
    <w:rsid w:val="00552FB2"/>
    <w:rsid w:val="00552FCE"/>
    <w:rsid w:val="0055327D"/>
    <w:rsid w:val="005532E2"/>
    <w:rsid w:val="005533D9"/>
    <w:rsid w:val="00553954"/>
    <w:rsid w:val="00553AB7"/>
    <w:rsid w:val="005540DC"/>
    <w:rsid w:val="00554286"/>
    <w:rsid w:val="00554DC9"/>
    <w:rsid w:val="005550D8"/>
    <w:rsid w:val="005556F8"/>
    <w:rsid w:val="0055592F"/>
    <w:rsid w:val="00555A97"/>
    <w:rsid w:val="00555C20"/>
    <w:rsid w:val="00555F89"/>
    <w:rsid w:val="0055606F"/>
    <w:rsid w:val="00556092"/>
    <w:rsid w:val="005561F8"/>
    <w:rsid w:val="005564BB"/>
    <w:rsid w:val="0055672F"/>
    <w:rsid w:val="0055689E"/>
    <w:rsid w:val="0055702C"/>
    <w:rsid w:val="0055736A"/>
    <w:rsid w:val="00557758"/>
    <w:rsid w:val="00557AA9"/>
    <w:rsid w:val="00557D0E"/>
    <w:rsid w:val="00560FE7"/>
    <w:rsid w:val="0056114E"/>
    <w:rsid w:val="00561156"/>
    <w:rsid w:val="005613FB"/>
    <w:rsid w:val="00561B11"/>
    <w:rsid w:val="00561CD3"/>
    <w:rsid w:val="00561F97"/>
    <w:rsid w:val="005620EF"/>
    <w:rsid w:val="00562175"/>
    <w:rsid w:val="005621B7"/>
    <w:rsid w:val="0056239E"/>
    <w:rsid w:val="00562503"/>
    <w:rsid w:val="00562ADF"/>
    <w:rsid w:val="00562B6C"/>
    <w:rsid w:val="00562E6A"/>
    <w:rsid w:val="005630E9"/>
    <w:rsid w:val="0056314C"/>
    <w:rsid w:val="00563561"/>
    <w:rsid w:val="00563702"/>
    <w:rsid w:val="00564439"/>
    <w:rsid w:val="00564543"/>
    <w:rsid w:val="00564CE9"/>
    <w:rsid w:val="00564F9E"/>
    <w:rsid w:val="0056507B"/>
    <w:rsid w:val="005653C7"/>
    <w:rsid w:val="00565488"/>
    <w:rsid w:val="00565552"/>
    <w:rsid w:val="005655C3"/>
    <w:rsid w:val="00566126"/>
    <w:rsid w:val="0056618E"/>
    <w:rsid w:val="00566297"/>
    <w:rsid w:val="005665AC"/>
    <w:rsid w:val="005667A4"/>
    <w:rsid w:val="00567208"/>
    <w:rsid w:val="00567C22"/>
    <w:rsid w:val="00567C9B"/>
    <w:rsid w:val="00567E7A"/>
    <w:rsid w:val="005703FD"/>
    <w:rsid w:val="00570487"/>
    <w:rsid w:val="00570519"/>
    <w:rsid w:val="0057070D"/>
    <w:rsid w:val="005707B8"/>
    <w:rsid w:val="00571238"/>
    <w:rsid w:val="00571581"/>
    <w:rsid w:val="0057217A"/>
    <w:rsid w:val="00572248"/>
    <w:rsid w:val="005729B2"/>
    <w:rsid w:val="00572FA0"/>
    <w:rsid w:val="00573083"/>
    <w:rsid w:val="00573103"/>
    <w:rsid w:val="00573187"/>
    <w:rsid w:val="00573329"/>
    <w:rsid w:val="005736A9"/>
    <w:rsid w:val="005736E5"/>
    <w:rsid w:val="00573876"/>
    <w:rsid w:val="00574163"/>
    <w:rsid w:val="00574228"/>
    <w:rsid w:val="005745DE"/>
    <w:rsid w:val="00574887"/>
    <w:rsid w:val="005748F3"/>
    <w:rsid w:val="00574BDA"/>
    <w:rsid w:val="0057509D"/>
    <w:rsid w:val="00575480"/>
    <w:rsid w:val="00575784"/>
    <w:rsid w:val="005759AD"/>
    <w:rsid w:val="00575BF8"/>
    <w:rsid w:val="00575F85"/>
    <w:rsid w:val="0057615A"/>
    <w:rsid w:val="0057628A"/>
    <w:rsid w:val="00576C8F"/>
    <w:rsid w:val="00576CCF"/>
    <w:rsid w:val="00576D5E"/>
    <w:rsid w:val="00576EA8"/>
    <w:rsid w:val="00577146"/>
    <w:rsid w:val="00577215"/>
    <w:rsid w:val="0057783F"/>
    <w:rsid w:val="00577BF1"/>
    <w:rsid w:val="00577C0C"/>
    <w:rsid w:val="00577CFB"/>
    <w:rsid w:val="00577DAC"/>
    <w:rsid w:val="005802F2"/>
    <w:rsid w:val="005806DB"/>
    <w:rsid w:val="005808E4"/>
    <w:rsid w:val="00580B9C"/>
    <w:rsid w:val="00580D1F"/>
    <w:rsid w:val="005814D9"/>
    <w:rsid w:val="005816D4"/>
    <w:rsid w:val="00581F7C"/>
    <w:rsid w:val="00582C23"/>
    <w:rsid w:val="00582CC5"/>
    <w:rsid w:val="00583251"/>
    <w:rsid w:val="00583311"/>
    <w:rsid w:val="0058381D"/>
    <w:rsid w:val="00583B7D"/>
    <w:rsid w:val="0058421B"/>
    <w:rsid w:val="00584932"/>
    <w:rsid w:val="00584B28"/>
    <w:rsid w:val="00584BE1"/>
    <w:rsid w:val="00584E36"/>
    <w:rsid w:val="005853B9"/>
    <w:rsid w:val="005853E3"/>
    <w:rsid w:val="005854B2"/>
    <w:rsid w:val="005855BA"/>
    <w:rsid w:val="005859E9"/>
    <w:rsid w:val="00585CDC"/>
    <w:rsid w:val="00585DFF"/>
    <w:rsid w:val="00586166"/>
    <w:rsid w:val="0058666F"/>
    <w:rsid w:val="00586E7A"/>
    <w:rsid w:val="005871DF"/>
    <w:rsid w:val="00587629"/>
    <w:rsid w:val="005876DD"/>
    <w:rsid w:val="0058774A"/>
    <w:rsid w:val="0058784A"/>
    <w:rsid w:val="005879E9"/>
    <w:rsid w:val="0059013E"/>
    <w:rsid w:val="005908EA"/>
    <w:rsid w:val="00590F10"/>
    <w:rsid w:val="005911B9"/>
    <w:rsid w:val="00591710"/>
    <w:rsid w:val="00591AEB"/>
    <w:rsid w:val="00591AF0"/>
    <w:rsid w:val="005920F2"/>
    <w:rsid w:val="005926B0"/>
    <w:rsid w:val="005926DB"/>
    <w:rsid w:val="005926EB"/>
    <w:rsid w:val="00592844"/>
    <w:rsid w:val="005932C5"/>
    <w:rsid w:val="00593CF4"/>
    <w:rsid w:val="00593DA1"/>
    <w:rsid w:val="005942BB"/>
    <w:rsid w:val="00594750"/>
    <w:rsid w:val="00594780"/>
    <w:rsid w:val="0059485F"/>
    <w:rsid w:val="00594B9C"/>
    <w:rsid w:val="00594C85"/>
    <w:rsid w:val="00594CA3"/>
    <w:rsid w:val="00594F23"/>
    <w:rsid w:val="00594F3D"/>
    <w:rsid w:val="0059506F"/>
    <w:rsid w:val="0059528C"/>
    <w:rsid w:val="005952D5"/>
    <w:rsid w:val="005953BC"/>
    <w:rsid w:val="0059547B"/>
    <w:rsid w:val="00595A7D"/>
    <w:rsid w:val="00595B94"/>
    <w:rsid w:val="00595C07"/>
    <w:rsid w:val="00595CC6"/>
    <w:rsid w:val="005961F9"/>
    <w:rsid w:val="0059634F"/>
    <w:rsid w:val="00596780"/>
    <w:rsid w:val="00596955"/>
    <w:rsid w:val="00596D4A"/>
    <w:rsid w:val="0059754A"/>
    <w:rsid w:val="005975A3"/>
    <w:rsid w:val="005977DF"/>
    <w:rsid w:val="00597881"/>
    <w:rsid w:val="00597990"/>
    <w:rsid w:val="00597DD9"/>
    <w:rsid w:val="00597E0C"/>
    <w:rsid w:val="005A0067"/>
    <w:rsid w:val="005A03DE"/>
    <w:rsid w:val="005A0795"/>
    <w:rsid w:val="005A0A01"/>
    <w:rsid w:val="005A1017"/>
    <w:rsid w:val="005A1058"/>
    <w:rsid w:val="005A135C"/>
    <w:rsid w:val="005A1517"/>
    <w:rsid w:val="005A1DB4"/>
    <w:rsid w:val="005A1E6B"/>
    <w:rsid w:val="005A20BC"/>
    <w:rsid w:val="005A2190"/>
    <w:rsid w:val="005A21EA"/>
    <w:rsid w:val="005A23D7"/>
    <w:rsid w:val="005A294E"/>
    <w:rsid w:val="005A29C5"/>
    <w:rsid w:val="005A31B7"/>
    <w:rsid w:val="005A31D4"/>
    <w:rsid w:val="005A31F4"/>
    <w:rsid w:val="005A4754"/>
    <w:rsid w:val="005A4796"/>
    <w:rsid w:val="005A4D13"/>
    <w:rsid w:val="005A5213"/>
    <w:rsid w:val="005A5420"/>
    <w:rsid w:val="005A55D0"/>
    <w:rsid w:val="005A5799"/>
    <w:rsid w:val="005A5A4F"/>
    <w:rsid w:val="005A5DD4"/>
    <w:rsid w:val="005A5F77"/>
    <w:rsid w:val="005A6060"/>
    <w:rsid w:val="005A6149"/>
    <w:rsid w:val="005A621D"/>
    <w:rsid w:val="005A6383"/>
    <w:rsid w:val="005A682F"/>
    <w:rsid w:val="005A6B07"/>
    <w:rsid w:val="005A6B9E"/>
    <w:rsid w:val="005A716E"/>
    <w:rsid w:val="005A74F7"/>
    <w:rsid w:val="005A7B4B"/>
    <w:rsid w:val="005A7EE1"/>
    <w:rsid w:val="005A7EFF"/>
    <w:rsid w:val="005B0304"/>
    <w:rsid w:val="005B0880"/>
    <w:rsid w:val="005B0DC1"/>
    <w:rsid w:val="005B1967"/>
    <w:rsid w:val="005B1A95"/>
    <w:rsid w:val="005B1BC2"/>
    <w:rsid w:val="005B218F"/>
    <w:rsid w:val="005B2214"/>
    <w:rsid w:val="005B24FE"/>
    <w:rsid w:val="005B26CD"/>
    <w:rsid w:val="005B286B"/>
    <w:rsid w:val="005B2D12"/>
    <w:rsid w:val="005B2D92"/>
    <w:rsid w:val="005B3088"/>
    <w:rsid w:val="005B37F4"/>
    <w:rsid w:val="005B399C"/>
    <w:rsid w:val="005B39BE"/>
    <w:rsid w:val="005B3B8B"/>
    <w:rsid w:val="005B3BD5"/>
    <w:rsid w:val="005B3D04"/>
    <w:rsid w:val="005B3D7C"/>
    <w:rsid w:val="005B3DD6"/>
    <w:rsid w:val="005B3EF7"/>
    <w:rsid w:val="005B4076"/>
    <w:rsid w:val="005B412B"/>
    <w:rsid w:val="005B42CA"/>
    <w:rsid w:val="005B437D"/>
    <w:rsid w:val="005B486E"/>
    <w:rsid w:val="005B49B7"/>
    <w:rsid w:val="005B4F48"/>
    <w:rsid w:val="005B51CF"/>
    <w:rsid w:val="005B54FD"/>
    <w:rsid w:val="005B575F"/>
    <w:rsid w:val="005B5998"/>
    <w:rsid w:val="005B5B64"/>
    <w:rsid w:val="005B5B7F"/>
    <w:rsid w:val="005B5DDB"/>
    <w:rsid w:val="005B5F61"/>
    <w:rsid w:val="005B6052"/>
    <w:rsid w:val="005B655E"/>
    <w:rsid w:val="005B6580"/>
    <w:rsid w:val="005B6770"/>
    <w:rsid w:val="005B6A50"/>
    <w:rsid w:val="005B6C27"/>
    <w:rsid w:val="005B6D49"/>
    <w:rsid w:val="005B6DCC"/>
    <w:rsid w:val="005B6EA6"/>
    <w:rsid w:val="005B7323"/>
    <w:rsid w:val="005B74DC"/>
    <w:rsid w:val="005B78CC"/>
    <w:rsid w:val="005B7E52"/>
    <w:rsid w:val="005B7F5D"/>
    <w:rsid w:val="005C0737"/>
    <w:rsid w:val="005C0C34"/>
    <w:rsid w:val="005C0CAF"/>
    <w:rsid w:val="005C0D1D"/>
    <w:rsid w:val="005C142E"/>
    <w:rsid w:val="005C14A2"/>
    <w:rsid w:val="005C1744"/>
    <w:rsid w:val="005C1940"/>
    <w:rsid w:val="005C19B3"/>
    <w:rsid w:val="005C1C02"/>
    <w:rsid w:val="005C1D1C"/>
    <w:rsid w:val="005C1DF5"/>
    <w:rsid w:val="005C248D"/>
    <w:rsid w:val="005C2614"/>
    <w:rsid w:val="005C27CD"/>
    <w:rsid w:val="005C2881"/>
    <w:rsid w:val="005C28FA"/>
    <w:rsid w:val="005C2CAD"/>
    <w:rsid w:val="005C2D65"/>
    <w:rsid w:val="005C2F2D"/>
    <w:rsid w:val="005C3437"/>
    <w:rsid w:val="005C39EE"/>
    <w:rsid w:val="005C3BE8"/>
    <w:rsid w:val="005C3CBD"/>
    <w:rsid w:val="005C415C"/>
    <w:rsid w:val="005C4588"/>
    <w:rsid w:val="005C45C8"/>
    <w:rsid w:val="005C460A"/>
    <w:rsid w:val="005C472F"/>
    <w:rsid w:val="005C4793"/>
    <w:rsid w:val="005C48BE"/>
    <w:rsid w:val="005C4BDC"/>
    <w:rsid w:val="005C4D2B"/>
    <w:rsid w:val="005C54AA"/>
    <w:rsid w:val="005C58B0"/>
    <w:rsid w:val="005C5B27"/>
    <w:rsid w:val="005C5D71"/>
    <w:rsid w:val="005C5DFE"/>
    <w:rsid w:val="005C5FC9"/>
    <w:rsid w:val="005C6028"/>
    <w:rsid w:val="005C6038"/>
    <w:rsid w:val="005C61F2"/>
    <w:rsid w:val="005C6554"/>
    <w:rsid w:val="005C6980"/>
    <w:rsid w:val="005C6CE2"/>
    <w:rsid w:val="005C758F"/>
    <w:rsid w:val="005C7818"/>
    <w:rsid w:val="005C79EB"/>
    <w:rsid w:val="005C7A68"/>
    <w:rsid w:val="005C7AC8"/>
    <w:rsid w:val="005D075C"/>
    <w:rsid w:val="005D0B4C"/>
    <w:rsid w:val="005D0E43"/>
    <w:rsid w:val="005D0F15"/>
    <w:rsid w:val="005D1356"/>
    <w:rsid w:val="005D1665"/>
    <w:rsid w:val="005D1CD3"/>
    <w:rsid w:val="005D1FBB"/>
    <w:rsid w:val="005D201D"/>
    <w:rsid w:val="005D2120"/>
    <w:rsid w:val="005D25A3"/>
    <w:rsid w:val="005D2753"/>
    <w:rsid w:val="005D2B69"/>
    <w:rsid w:val="005D3512"/>
    <w:rsid w:val="005D363A"/>
    <w:rsid w:val="005D39BC"/>
    <w:rsid w:val="005D3F6C"/>
    <w:rsid w:val="005D4380"/>
    <w:rsid w:val="005D438E"/>
    <w:rsid w:val="005D43E2"/>
    <w:rsid w:val="005D44A6"/>
    <w:rsid w:val="005D44C5"/>
    <w:rsid w:val="005D46F7"/>
    <w:rsid w:val="005D4D66"/>
    <w:rsid w:val="005D5188"/>
    <w:rsid w:val="005D5274"/>
    <w:rsid w:val="005D631B"/>
    <w:rsid w:val="005D63C3"/>
    <w:rsid w:val="005D69E7"/>
    <w:rsid w:val="005D6A8C"/>
    <w:rsid w:val="005D6C21"/>
    <w:rsid w:val="005D6D9B"/>
    <w:rsid w:val="005D6FC8"/>
    <w:rsid w:val="005D7552"/>
    <w:rsid w:val="005D7699"/>
    <w:rsid w:val="005D77E2"/>
    <w:rsid w:val="005E03A4"/>
    <w:rsid w:val="005E05F9"/>
    <w:rsid w:val="005E0D73"/>
    <w:rsid w:val="005E10F4"/>
    <w:rsid w:val="005E14A5"/>
    <w:rsid w:val="005E14E9"/>
    <w:rsid w:val="005E1617"/>
    <w:rsid w:val="005E168E"/>
    <w:rsid w:val="005E1930"/>
    <w:rsid w:val="005E1B49"/>
    <w:rsid w:val="005E1C0E"/>
    <w:rsid w:val="005E1CA7"/>
    <w:rsid w:val="005E1FC6"/>
    <w:rsid w:val="005E2773"/>
    <w:rsid w:val="005E2826"/>
    <w:rsid w:val="005E2957"/>
    <w:rsid w:val="005E3971"/>
    <w:rsid w:val="005E3D47"/>
    <w:rsid w:val="005E3E91"/>
    <w:rsid w:val="005E44C3"/>
    <w:rsid w:val="005E512E"/>
    <w:rsid w:val="005E540F"/>
    <w:rsid w:val="005E54EA"/>
    <w:rsid w:val="005E54FA"/>
    <w:rsid w:val="005E5E39"/>
    <w:rsid w:val="005E65E5"/>
    <w:rsid w:val="005E6968"/>
    <w:rsid w:val="005E6B9C"/>
    <w:rsid w:val="005E6BCE"/>
    <w:rsid w:val="005E73FA"/>
    <w:rsid w:val="005E79A4"/>
    <w:rsid w:val="005E7B37"/>
    <w:rsid w:val="005F02CB"/>
    <w:rsid w:val="005F059A"/>
    <w:rsid w:val="005F070B"/>
    <w:rsid w:val="005F07B9"/>
    <w:rsid w:val="005F0976"/>
    <w:rsid w:val="005F0D2B"/>
    <w:rsid w:val="005F141C"/>
    <w:rsid w:val="005F1849"/>
    <w:rsid w:val="005F1DCF"/>
    <w:rsid w:val="005F275E"/>
    <w:rsid w:val="005F292F"/>
    <w:rsid w:val="005F2B77"/>
    <w:rsid w:val="005F2C38"/>
    <w:rsid w:val="005F2E46"/>
    <w:rsid w:val="005F32E8"/>
    <w:rsid w:val="005F37BA"/>
    <w:rsid w:val="005F3E1F"/>
    <w:rsid w:val="005F44C2"/>
    <w:rsid w:val="005F455B"/>
    <w:rsid w:val="005F47A4"/>
    <w:rsid w:val="005F47C1"/>
    <w:rsid w:val="005F47F3"/>
    <w:rsid w:val="005F502F"/>
    <w:rsid w:val="005F51D0"/>
    <w:rsid w:val="005F5441"/>
    <w:rsid w:val="005F551F"/>
    <w:rsid w:val="005F578D"/>
    <w:rsid w:val="005F57A7"/>
    <w:rsid w:val="005F61FB"/>
    <w:rsid w:val="005F6553"/>
    <w:rsid w:val="005F6791"/>
    <w:rsid w:val="005F68B7"/>
    <w:rsid w:val="005F68F2"/>
    <w:rsid w:val="005F7463"/>
    <w:rsid w:val="005F74B0"/>
    <w:rsid w:val="005F74B6"/>
    <w:rsid w:val="005F76C3"/>
    <w:rsid w:val="005F7940"/>
    <w:rsid w:val="005F79C8"/>
    <w:rsid w:val="005F7D15"/>
    <w:rsid w:val="005F7FC6"/>
    <w:rsid w:val="006000E7"/>
    <w:rsid w:val="00600362"/>
    <w:rsid w:val="00600788"/>
    <w:rsid w:val="006007C7"/>
    <w:rsid w:val="00600A0F"/>
    <w:rsid w:val="00601221"/>
    <w:rsid w:val="00601569"/>
    <w:rsid w:val="006016B4"/>
    <w:rsid w:val="00601A10"/>
    <w:rsid w:val="00601AE8"/>
    <w:rsid w:val="00601B09"/>
    <w:rsid w:val="00601DFD"/>
    <w:rsid w:val="00601EFD"/>
    <w:rsid w:val="0060314C"/>
    <w:rsid w:val="00603E19"/>
    <w:rsid w:val="0060463C"/>
    <w:rsid w:val="00604659"/>
    <w:rsid w:val="00604722"/>
    <w:rsid w:val="0060490F"/>
    <w:rsid w:val="00604B71"/>
    <w:rsid w:val="006050CD"/>
    <w:rsid w:val="006052E7"/>
    <w:rsid w:val="0060535B"/>
    <w:rsid w:val="006054E2"/>
    <w:rsid w:val="00605501"/>
    <w:rsid w:val="00605A5D"/>
    <w:rsid w:val="00605F7D"/>
    <w:rsid w:val="006060B6"/>
    <w:rsid w:val="0060637B"/>
    <w:rsid w:val="006063BF"/>
    <w:rsid w:val="006067C0"/>
    <w:rsid w:val="00606CE6"/>
    <w:rsid w:val="00606DA8"/>
    <w:rsid w:val="00606DFF"/>
    <w:rsid w:val="00607031"/>
    <w:rsid w:val="006074A6"/>
    <w:rsid w:val="006074D8"/>
    <w:rsid w:val="00607A80"/>
    <w:rsid w:val="00607D00"/>
    <w:rsid w:val="00607D2A"/>
    <w:rsid w:val="0061036C"/>
    <w:rsid w:val="00610645"/>
    <w:rsid w:val="00610A77"/>
    <w:rsid w:val="00610D09"/>
    <w:rsid w:val="00611257"/>
    <w:rsid w:val="0061153A"/>
    <w:rsid w:val="00611783"/>
    <w:rsid w:val="00611919"/>
    <w:rsid w:val="006122A0"/>
    <w:rsid w:val="006125FC"/>
    <w:rsid w:val="0061267B"/>
    <w:rsid w:val="00612961"/>
    <w:rsid w:val="00612B10"/>
    <w:rsid w:val="00612BE3"/>
    <w:rsid w:val="00612D21"/>
    <w:rsid w:val="00612D6D"/>
    <w:rsid w:val="00612FB5"/>
    <w:rsid w:val="006135F9"/>
    <w:rsid w:val="00613C42"/>
    <w:rsid w:val="00613FA6"/>
    <w:rsid w:val="006147F6"/>
    <w:rsid w:val="00614933"/>
    <w:rsid w:val="00614B4A"/>
    <w:rsid w:val="00614B59"/>
    <w:rsid w:val="00614EF8"/>
    <w:rsid w:val="00614F6F"/>
    <w:rsid w:val="00615028"/>
    <w:rsid w:val="006162ED"/>
    <w:rsid w:val="006163AB"/>
    <w:rsid w:val="0061690E"/>
    <w:rsid w:val="00616F9A"/>
    <w:rsid w:val="00617130"/>
    <w:rsid w:val="00617583"/>
    <w:rsid w:val="00617ACC"/>
    <w:rsid w:val="00617F0B"/>
    <w:rsid w:val="00620269"/>
    <w:rsid w:val="00620433"/>
    <w:rsid w:val="006206DC"/>
    <w:rsid w:val="006206FB"/>
    <w:rsid w:val="00620B33"/>
    <w:rsid w:val="00620B43"/>
    <w:rsid w:val="00620C02"/>
    <w:rsid w:val="00620C68"/>
    <w:rsid w:val="00620D32"/>
    <w:rsid w:val="00621217"/>
    <w:rsid w:val="006213D2"/>
    <w:rsid w:val="006216A2"/>
    <w:rsid w:val="00621DA4"/>
    <w:rsid w:val="006225E4"/>
    <w:rsid w:val="00623039"/>
    <w:rsid w:val="00623B37"/>
    <w:rsid w:val="00624293"/>
    <w:rsid w:val="006242D3"/>
    <w:rsid w:val="006242DB"/>
    <w:rsid w:val="0062431F"/>
    <w:rsid w:val="00624D9C"/>
    <w:rsid w:val="0062539F"/>
    <w:rsid w:val="006253B8"/>
    <w:rsid w:val="006256D8"/>
    <w:rsid w:val="0062571D"/>
    <w:rsid w:val="0062582A"/>
    <w:rsid w:val="006258A6"/>
    <w:rsid w:val="006263A3"/>
    <w:rsid w:val="00626D1E"/>
    <w:rsid w:val="006275E5"/>
    <w:rsid w:val="006278D4"/>
    <w:rsid w:val="00627C34"/>
    <w:rsid w:val="0063079C"/>
    <w:rsid w:val="00630CB6"/>
    <w:rsid w:val="006314BD"/>
    <w:rsid w:val="00631559"/>
    <w:rsid w:val="00631599"/>
    <w:rsid w:val="0063189D"/>
    <w:rsid w:val="006318A5"/>
    <w:rsid w:val="00631BB9"/>
    <w:rsid w:val="00631C4E"/>
    <w:rsid w:val="00632061"/>
    <w:rsid w:val="0063274B"/>
    <w:rsid w:val="00632B52"/>
    <w:rsid w:val="00633111"/>
    <w:rsid w:val="00633374"/>
    <w:rsid w:val="006338C3"/>
    <w:rsid w:val="00633CB1"/>
    <w:rsid w:val="006347AC"/>
    <w:rsid w:val="0063499E"/>
    <w:rsid w:val="00634D59"/>
    <w:rsid w:val="00634DD8"/>
    <w:rsid w:val="00635122"/>
    <w:rsid w:val="00635477"/>
    <w:rsid w:val="00635B7A"/>
    <w:rsid w:val="00635CC4"/>
    <w:rsid w:val="006368EA"/>
    <w:rsid w:val="00636BBB"/>
    <w:rsid w:val="0063760B"/>
    <w:rsid w:val="0063770D"/>
    <w:rsid w:val="00637932"/>
    <w:rsid w:val="00637C92"/>
    <w:rsid w:val="0064000F"/>
    <w:rsid w:val="006401FF"/>
    <w:rsid w:val="0064069B"/>
    <w:rsid w:val="0064081A"/>
    <w:rsid w:val="00640868"/>
    <w:rsid w:val="00640940"/>
    <w:rsid w:val="00640E52"/>
    <w:rsid w:val="0064181E"/>
    <w:rsid w:val="0064185B"/>
    <w:rsid w:val="00641A47"/>
    <w:rsid w:val="00641DEB"/>
    <w:rsid w:val="00641ED1"/>
    <w:rsid w:val="00641F23"/>
    <w:rsid w:val="006421D2"/>
    <w:rsid w:val="00642252"/>
    <w:rsid w:val="0064245B"/>
    <w:rsid w:val="00642482"/>
    <w:rsid w:val="006428B9"/>
    <w:rsid w:val="006429AC"/>
    <w:rsid w:val="00642CDB"/>
    <w:rsid w:val="00643357"/>
    <w:rsid w:val="0064345D"/>
    <w:rsid w:val="00643670"/>
    <w:rsid w:val="006437E9"/>
    <w:rsid w:val="006438EC"/>
    <w:rsid w:val="00643A80"/>
    <w:rsid w:val="00643CCA"/>
    <w:rsid w:val="006442A5"/>
    <w:rsid w:val="00644595"/>
    <w:rsid w:val="006446C9"/>
    <w:rsid w:val="00644C14"/>
    <w:rsid w:val="00645801"/>
    <w:rsid w:val="00645846"/>
    <w:rsid w:val="0064617C"/>
    <w:rsid w:val="00646543"/>
    <w:rsid w:val="00646659"/>
    <w:rsid w:val="006466C3"/>
    <w:rsid w:val="00646A65"/>
    <w:rsid w:val="00646C91"/>
    <w:rsid w:val="0064735B"/>
    <w:rsid w:val="0064736F"/>
    <w:rsid w:val="0064759B"/>
    <w:rsid w:val="00647637"/>
    <w:rsid w:val="006479F1"/>
    <w:rsid w:val="00647F9C"/>
    <w:rsid w:val="0065026D"/>
    <w:rsid w:val="006507C1"/>
    <w:rsid w:val="00651010"/>
    <w:rsid w:val="006511AD"/>
    <w:rsid w:val="006516FD"/>
    <w:rsid w:val="0065186A"/>
    <w:rsid w:val="006518DD"/>
    <w:rsid w:val="00651A2A"/>
    <w:rsid w:val="00651B27"/>
    <w:rsid w:val="00651C22"/>
    <w:rsid w:val="0065222F"/>
    <w:rsid w:val="00652460"/>
    <w:rsid w:val="0065263C"/>
    <w:rsid w:val="006529CB"/>
    <w:rsid w:val="00652A5E"/>
    <w:rsid w:val="00652F3A"/>
    <w:rsid w:val="00652F5C"/>
    <w:rsid w:val="0065308A"/>
    <w:rsid w:val="006531D2"/>
    <w:rsid w:val="00653284"/>
    <w:rsid w:val="00653729"/>
    <w:rsid w:val="00653743"/>
    <w:rsid w:val="00653FA3"/>
    <w:rsid w:val="0065421D"/>
    <w:rsid w:val="0065448A"/>
    <w:rsid w:val="00654E52"/>
    <w:rsid w:val="00655170"/>
    <w:rsid w:val="006552C0"/>
    <w:rsid w:val="00655328"/>
    <w:rsid w:val="006555CD"/>
    <w:rsid w:val="0065581D"/>
    <w:rsid w:val="00655B2A"/>
    <w:rsid w:val="00655B79"/>
    <w:rsid w:val="00656680"/>
    <w:rsid w:val="00656DC1"/>
    <w:rsid w:val="0065706A"/>
    <w:rsid w:val="006572FB"/>
    <w:rsid w:val="006578E5"/>
    <w:rsid w:val="00657BE5"/>
    <w:rsid w:val="00657DD6"/>
    <w:rsid w:val="00657FC4"/>
    <w:rsid w:val="00660273"/>
    <w:rsid w:val="0066046B"/>
    <w:rsid w:val="0066060D"/>
    <w:rsid w:val="00660868"/>
    <w:rsid w:val="00660943"/>
    <w:rsid w:val="00660E4F"/>
    <w:rsid w:val="00661906"/>
    <w:rsid w:val="0066191D"/>
    <w:rsid w:val="0066204D"/>
    <w:rsid w:val="0066289E"/>
    <w:rsid w:val="00662DE0"/>
    <w:rsid w:val="00662F45"/>
    <w:rsid w:val="00663018"/>
    <w:rsid w:val="006633D6"/>
    <w:rsid w:val="0066354F"/>
    <w:rsid w:val="00663781"/>
    <w:rsid w:val="00663F66"/>
    <w:rsid w:val="00663FAA"/>
    <w:rsid w:val="006642C2"/>
    <w:rsid w:val="00665053"/>
    <w:rsid w:val="00665138"/>
    <w:rsid w:val="0066526E"/>
    <w:rsid w:val="006652DE"/>
    <w:rsid w:val="0066551C"/>
    <w:rsid w:val="00665644"/>
    <w:rsid w:val="00665868"/>
    <w:rsid w:val="006658D3"/>
    <w:rsid w:val="006659E9"/>
    <w:rsid w:val="00665BDA"/>
    <w:rsid w:val="006667A5"/>
    <w:rsid w:val="006667C5"/>
    <w:rsid w:val="00666A92"/>
    <w:rsid w:val="00666F7F"/>
    <w:rsid w:val="00667444"/>
    <w:rsid w:val="0066777D"/>
    <w:rsid w:val="006701A6"/>
    <w:rsid w:val="00670732"/>
    <w:rsid w:val="00670BD3"/>
    <w:rsid w:val="00670CA2"/>
    <w:rsid w:val="00670E4F"/>
    <w:rsid w:val="00670F17"/>
    <w:rsid w:val="00670F1C"/>
    <w:rsid w:val="0067100B"/>
    <w:rsid w:val="006710D3"/>
    <w:rsid w:val="00671109"/>
    <w:rsid w:val="006711D2"/>
    <w:rsid w:val="0067159A"/>
    <w:rsid w:val="00671908"/>
    <w:rsid w:val="00671C73"/>
    <w:rsid w:val="00671CE5"/>
    <w:rsid w:val="006724FC"/>
    <w:rsid w:val="0067252A"/>
    <w:rsid w:val="00672DFB"/>
    <w:rsid w:val="00673148"/>
    <w:rsid w:val="006733D0"/>
    <w:rsid w:val="0067370F"/>
    <w:rsid w:val="00673BB7"/>
    <w:rsid w:val="00673BB8"/>
    <w:rsid w:val="00673DAC"/>
    <w:rsid w:val="00673E49"/>
    <w:rsid w:val="00674032"/>
    <w:rsid w:val="006744AC"/>
    <w:rsid w:val="006746E7"/>
    <w:rsid w:val="0067498D"/>
    <w:rsid w:val="00674AE1"/>
    <w:rsid w:val="0067523A"/>
    <w:rsid w:val="0067538C"/>
    <w:rsid w:val="006753AB"/>
    <w:rsid w:val="00675E33"/>
    <w:rsid w:val="00676192"/>
    <w:rsid w:val="00676A0B"/>
    <w:rsid w:val="00676AF6"/>
    <w:rsid w:val="00676B40"/>
    <w:rsid w:val="00676BFA"/>
    <w:rsid w:val="006774C3"/>
    <w:rsid w:val="00677806"/>
    <w:rsid w:val="0067786D"/>
    <w:rsid w:val="0067793D"/>
    <w:rsid w:val="00677C7D"/>
    <w:rsid w:val="00677F91"/>
    <w:rsid w:val="006803B9"/>
    <w:rsid w:val="00680432"/>
    <w:rsid w:val="006804B6"/>
    <w:rsid w:val="00681358"/>
    <w:rsid w:val="006814A8"/>
    <w:rsid w:val="006819A3"/>
    <w:rsid w:val="00681B7B"/>
    <w:rsid w:val="00681E16"/>
    <w:rsid w:val="00682080"/>
    <w:rsid w:val="00682302"/>
    <w:rsid w:val="006827FB"/>
    <w:rsid w:val="00682881"/>
    <w:rsid w:val="006828F9"/>
    <w:rsid w:val="00682AD8"/>
    <w:rsid w:val="00682FBD"/>
    <w:rsid w:val="0068307F"/>
    <w:rsid w:val="0068326F"/>
    <w:rsid w:val="00683A05"/>
    <w:rsid w:val="00683E2A"/>
    <w:rsid w:val="00684077"/>
    <w:rsid w:val="00684742"/>
    <w:rsid w:val="006847B9"/>
    <w:rsid w:val="00684D57"/>
    <w:rsid w:val="00684E65"/>
    <w:rsid w:val="0068518B"/>
    <w:rsid w:val="00685519"/>
    <w:rsid w:val="0068570B"/>
    <w:rsid w:val="00685854"/>
    <w:rsid w:val="00685966"/>
    <w:rsid w:val="00685B10"/>
    <w:rsid w:val="00685B13"/>
    <w:rsid w:val="00685B81"/>
    <w:rsid w:val="00685C57"/>
    <w:rsid w:val="00686240"/>
    <w:rsid w:val="0068633D"/>
    <w:rsid w:val="006864C9"/>
    <w:rsid w:val="00686526"/>
    <w:rsid w:val="00686588"/>
    <w:rsid w:val="006866B6"/>
    <w:rsid w:val="006867D3"/>
    <w:rsid w:val="006868A5"/>
    <w:rsid w:val="00686B48"/>
    <w:rsid w:val="00686CDC"/>
    <w:rsid w:val="00686EF5"/>
    <w:rsid w:val="0068714B"/>
    <w:rsid w:val="00687150"/>
    <w:rsid w:val="006876F1"/>
    <w:rsid w:val="006878C1"/>
    <w:rsid w:val="00687F3B"/>
    <w:rsid w:val="006902AD"/>
    <w:rsid w:val="00690300"/>
    <w:rsid w:val="0069033C"/>
    <w:rsid w:val="0069065F"/>
    <w:rsid w:val="006906C2"/>
    <w:rsid w:val="0069070C"/>
    <w:rsid w:val="00690B91"/>
    <w:rsid w:val="00690D0C"/>
    <w:rsid w:val="00690DDF"/>
    <w:rsid w:val="006911C5"/>
    <w:rsid w:val="00691428"/>
    <w:rsid w:val="00691444"/>
    <w:rsid w:val="0069159B"/>
    <w:rsid w:val="006923E8"/>
    <w:rsid w:val="006925F9"/>
    <w:rsid w:val="006926FB"/>
    <w:rsid w:val="00692CFC"/>
    <w:rsid w:val="00692E88"/>
    <w:rsid w:val="0069301D"/>
    <w:rsid w:val="00693249"/>
    <w:rsid w:val="00693707"/>
    <w:rsid w:val="00693A92"/>
    <w:rsid w:val="00693BE4"/>
    <w:rsid w:val="00693C6E"/>
    <w:rsid w:val="006940FD"/>
    <w:rsid w:val="006943E3"/>
    <w:rsid w:val="0069496C"/>
    <w:rsid w:val="00694DD2"/>
    <w:rsid w:val="00694E7B"/>
    <w:rsid w:val="00695138"/>
    <w:rsid w:val="0069587B"/>
    <w:rsid w:val="006959CC"/>
    <w:rsid w:val="00695E28"/>
    <w:rsid w:val="00695FB1"/>
    <w:rsid w:val="0069604E"/>
    <w:rsid w:val="006965C4"/>
    <w:rsid w:val="00696767"/>
    <w:rsid w:val="0069681E"/>
    <w:rsid w:val="00696AB7"/>
    <w:rsid w:val="00696C26"/>
    <w:rsid w:val="00696D97"/>
    <w:rsid w:val="00696DB8"/>
    <w:rsid w:val="00696E1A"/>
    <w:rsid w:val="0069701B"/>
    <w:rsid w:val="00697117"/>
    <w:rsid w:val="00697264"/>
    <w:rsid w:val="00697A24"/>
    <w:rsid w:val="00697A60"/>
    <w:rsid w:val="00697D4D"/>
    <w:rsid w:val="00697EB2"/>
    <w:rsid w:val="006A0288"/>
    <w:rsid w:val="006A03D1"/>
    <w:rsid w:val="006A075D"/>
    <w:rsid w:val="006A0BBE"/>
    <w:rsid w:val="006A0FC9"/>
    <w:rsid w:val="006A1352"/>
    <w:rsid w:val="006A174B"/>
    <w:rsid w:val="006A18A5"/>
    <w:rsid w:val="006A1A51"/>
    <w:rsid w:val="006A1DB7"/>
    <w:rsid w:val="006A1EE4"/>
    <w:rsid w:val="006A2082"/>
    <w:rsid w:val="006A2321"/>
    <w:rsid w:val="006A23F5"/>
    <w:rsid w:val="006A2D11"/>
    <w:rsid w:val="006A35EC"/>
    <w:rsid w:val="006A39F8"/>
    <w:rsid w:val="006A3CB7"/>
    <w:rsid w:val="006A3E8B"/>
    <w:rsid w:val="006A47CB"/>
    <w:rsid w:val="006A47F6"/>
    <w:rsid w:val="006A4987"/>
    <w:rsid w:val="006A4C8E"/>
    <w:rsid w:val="006A5205"/>
    <w:rsid w:val="006A5368"/>
    <w:rsid w:val="006A5715"/>
    <w:rsid w:val="006A57D3"/>
    <w:rsid w:val="006A5853"/>
    <w:rsid w:val="006A5911"/>
    <w:rsid w:val="006A5DD7"/>
    <w:rsid w:val="006A610B"/>
    <w:rsid w:val="006A6633"/>
    <w:rsid w:val="006A67D2"/>
    <w:rsid w:val="006A695D"/>
    <w:rsid w:val="006A695F"/>
    <w:rsid w:val="006A6AAC"/>
    <w:rsid w:val="006A6C1D"/>
    <w:rsid w:val="006A6DAD"/>
    <w:rsid w:val="006A6DB1"/>
    <w:rsid w:val="006A700C"/>
    <w:rsid w:val="006A7399"/>
    <w:rsid w:val="006A7624"/>
    <w:rsid w:val="006A7BEF"/>
    <w:rsid w:val="006A7F86"/>
    <w:rsid w:val="006B03C5"/>
    <w:rsid w:val="006B042C"/>
    <w:rsid w:val="006B051B"/>
    <w:rsid w:val="006B09B2"/>
    <w:rsid w:val="006B09DC"/>
    <w:rsid w:val="006B0A44"/>
    <w:rsid w:val="006B0BAD"/>
    <w:rsid w:val="006B1734"/>
    <w:rsid w:val="006B1931"/>
    <w:rsid w:val="006B2472"/>
    <w:rsid w:val="006B256C"/>
    <w:rsid w:val="006B2E2D"/>
    <w:rsid w:val="006B36F4"/>
    <w:rsid w:val="006B3A69"/>
    <w:rsid w:val="006B3ADF"/>
    <w:rsid w:val="006B3C9B"/>
    <w:rsid w:val="006B3D7D"/>
    <w:rsid w:val="006B3DA3"/>
    <w:rsid w:val="006B4B5B"/>
    <w:rsid w:val="006B4F2B"/>
    <w:rsid w:val="006B4FF9"/>
    <w:rsid w:val="006B5280"/>
    <w:rsid w:val="006B55E5"/>
    <w:rsid w:val="006B56CF"/>
    <w:rsid w:val="006B56ED"/>
    <w:rsid w:val="006B5B0E"/>
    <w:rsid w:val="006B5CBD"/>
    <w:rsid w:val="006B5E5E"/>
    <w:rsid w:val="006B6208"/>
    <w:rsid w:val="006B6485"/>
    <w:rsid w:val="006B6631"/>
    <w:rsid w:val="006B70F9"/>
    <w:rsid w:val="006B712E"/>
    <w:rsid w:val="006B71E9"/>
    <w:rsid w:val="006B7254"/>
    <w:rsid w:val="006B730D"/>
    <w:rsid w:val="006B76FC"/>
    <w:rsid w:val="006B77B6"/>
    <w:rsid w:val="006B7A02"/>
    <w:rsid w:val="006B7C31"/>
    <w:rsid w:val="006C0117"/>
    <w:rsid w:val="006C0494"/>
    <w:rsid w:val="006C0703"/>
    <w:rsid w:val="006C0B74"/>
    <w:rsid w:val="006C11BC"/>
    <w:rsid w:val="006C132D"/>
    <w:rsid w:val="006C14D2"/>
    <w:rsid w:val="006C14FB"/>
    <w:rsid w:val="006C15AA"/>
    <w:rsid w:val="006C1B3C"/>
    <w:rsid w:val="006C1B61"/>
    <w:rsid w:val="006C20DC"/>
    <w:rsid w:val="006C26A4"/>
    <w:rsid w:val="006C272F"/>
    <w:rsid w:val="006C2879"/>
    <w:rsid w:val="006C2A5C"/>
    <w:rsid w:val="006C2B0A"/>
    <w:rsid w:val="006C2BCE"/>
    <w:rsid w:val="006C2E6B"/>
    <w:rsid w:val="006C358E"/>
    <w:rsid w:val="006C3B8A"/>
    <w:rsid w:val="006C42C2"/>
    <w:rsid w:val="006C4559"/>
    <w:rsid w:val="006C469A"/>
    <w:rsid w:val="006C48EA"/>
    <w:rsid w:val="006C4DC6"/>
    <w:rsid w:val="006C4E9A"/>
    <w:rsid w:val="006C50C3"/>
    <w:rsid w:val="006C5529"/>
    <w:rsid w:val="006C578D"/>
    <w:rsid w:val="006C5A74"/>
    <w:rsid w:val="006C5EBC"/>
    <w:rsid w:val="006C5EF0"/>
    <w:rsid w:val="006C63C7"/>
    <w:rsid w:val="006C6555"/>
    <w:rsid w:val="006C69E4"/>
    <w:rsid w:val="006C6A52"/>
    <w:rsid w:val="006C6AF8"/>
    <w:rsid w:val="006C6BC3"/>
    <w:rsid w:val="006C7069"/>
    <w:rsid w:val="006C7372"/>
    <w:rsid w:val="006C73DB"/>
    <w:rsid w:val="006C771C"/>
    <w:rsid w:val="006C79DF"/>
    <w:rsid w:val="006C7B5B"/>
    <w:rsid w:val="006C7D4F"/>
    <w:rsid w:val="006C7E3A"/>
    <w:rsid w:val="006C7F12"/>
    <w:rsid w:val="006D007B"/>
    <w:rsid w:val="006D0151"/>
    <w:rsid w:val="006D0202"/>
    <w:rsid w:val="006D035D"/>
    <w:rsid w:val="006D0755"/>
    <w:rsid w:val="006D086D"/>
    <w:rsid w:val="006D0AF2"/>
    <w:rsid w:val="006D0D95"/>
    <w:rsid w:val="006D11E2"/>
    <w:rsid w:val="006D138D"/>
    <w:rsid w:val="006D13FA"/>
    <w:rsid w:val="006D147D"/>
    <w:rsid w:val="006D1E5D"/>
    <w:rsid w:val="006D2635"/>
    <w:rsid w:val="006D263C"/>
    <w:rsid w:val="006D2F37"/>
    <w:rsid w:val="006D3139"/>
    <w:rsid w:val="006D3254"/>
    <w:rsid w:val="006D3621"/>
    <w:rsid w:val="006D3756"/>
    <w:rsid w:val="006D3AF1"/>
    <w:rsid w:val="006D3C61"/>
    <w:rsid w:val="006D3D4C"/>
    <w:rsid w:val="006D44C7"/>
    <w:rsid w:val="006D44E5"/>
    <w:rsid w:val="006D4650"/>
    <w:rsid w:val="006D4666"/>
    <w:rsid w:val="006D4AA7"/>
    <w:rsid w:val="006D5101"/>
    <w:rsid w:val="006D570F"/>
    <w:rsid w:val="006D575D"/>
    <w:rsid w:val="006D57EB"/>
    <w:rsid w:val="006D5903"/>
    <w:rsid w:val="006D5A78"/>
    <w:rsid w:val="006D5B04"/>
    <w:rsid w:val="006D5E78"/>
    <w:rsid w:val="006D605F"/>
    <w:rsid w:val="006D623F"/>
    <w:rsid w:val="006D6693"/>
    <w:rsid w:val="006D67CB"/>
    <w:rsid w:val="006D6867"/>
    <w:rsid w:val="006D699F"/>
    <w:rsid w:val="006D6C07"/>
    <w:rsid w:val="006D6C50"/>
    <w:rsid w:val="006D6C71"/>
    <w:rsid w:val="006D6DF6"/>
    <w:rsid w:val="006D7120"/>
    <w:rsid w:val="006D732B"/>
    <w:rsid w:val="006D78E0"/>
    <w:rsid w:val="006D7AF4"/>
    <w:rsid w:val="006D7E5A"/>
    <w:rsid w:val="006E005A"/>
    <w:rsid w:val="006E0316"/>
    <w:rsid w:val="006E0667"/>
    <w:rsid w:val="006E0848"/>
    <w:rsid w:val="006E14CC"/>
    <w:rsid w:val="006E1556"/>
    <w:rsid w:val="006E15AB"/>
    <w:rsid w:val="006E15E4"/>
    <w:rsid w:val="006E1A4B"/>
    <w:rsid w:val="006E1E60"/>
    <w:rsid w:val="006E20F5"/>
    <w:rsid w:val="006E2254"/>
    <w:rsid w:val="006E23DC"/>
    <w:rsid w:val="006E2744"/>
    <w:rsid w:val="006E2931"/>
    <w:rsid w:val="006E2C5D"/>
    <w:rsid w:val="006E2F2F"/>
    <w:rsid w:val="006E3596"/>
    <w:rsid w:val="006E3601"/>
    <w:rsid w:val="006E3623"/>
    <w:rsid w:val="006E3A4E"/>
    <w:rsid w:val="006E4116"/>
    <w:rsid w:val="006E4393"/>
    <w:rsid w:val="006E4512"/>
    <w:rsid w:val="006E48A2"/>
    <w:rsid w:val="006E4A28"/>
    <w:rsid w:val="006E5613"/>
    <w:rsid w:val="006E57B5"/>
    <w:rsid w:val="006E5A11"/>
    <w:rsid w:val="006E5B4F"/>
    <w:rsid w:val="006E622F"/>
    <w:rsid w:val="006E6572"/>
    <w:rsid w:val="006E66AF"/>
    <w:rsid w:val="006E66F2"/>
    <w:rsid w:val="006E6A08"/>
    <w:rsid w:val="006E7062"/>
    <w:rsid w:val="006E7E68"/>
    <w:rsid w:val="006F0252"/>
    <w:rsid w:val="006F08E0"/>
    <w:rsid w:val="006F0998"/>
    <w:rsid w:val="006F0AFC"/>
    <w:rsid w:val="006F0CC0"/>
    <w:rsid w:val="006F0EEC"/>
    <w:rsid w:val="006F10A4"/>
    <w:rsid w:val="006F143B"/>
    <w:rsid w:val="006F1472"/>
    <w:rsid w:val="006F1577"/>
    <w:rsid w:val="006F16BF"/>
    <w:rsid w:val="006F17A8"/>
    <w:rsid w:val="006F19E1"/>
    <w:rsid w:val="006F1C35"/>
    <w:rsid w:val="006F1F18"/>
    <w:rsid w:val="006F24DC"/>
    <w:rsid w:val="006F26A9"/>
    <w:rsid w:val="006F291A"/>
    <w:rsid w:val="006F2952"/>
    <w:rsid w:val="006F2A90"/>
    <w:rsid w:val="006F2C5E"/>
    <w:rsid w:val="006F3160"/>
    <w:rsid w:val="006F352C"/>
    <w:rsid w:val="006F3B8F"/>
    <w:rsid w:val="006F3EEB"/>
    <w:rsid w:val="006F3FE8"/>
    <w:rsid w:val="006F405E"/>
    <w:rsid w:val="006F40B6"/>
    <w:rsid w:val="006F42ED"/>
    <w:rsid w:val="006F4DB0"/>
    <w:rsid w:val="006F4F44"/>
    <w:rsid w:val="006F50E6"/>
    <w:rsid w:val="006F576F"/>
    <w:rsid w:val="006F5AD8"/>
    <w:rsid w:val="006F5F7E"/>
    <w:rsid w:val="006F647B"/>
    <w:rsid w:val="006F6845"/>
    <w:rsid w:val="006F69D4"/>
    <w:rsid w:val="006F6A0F"/>
    <w:rsid w:val="006F6A38"/>
    <w:rsid w:val="006F74D2"/>
    <w:rsid w:val="006F7B21"/>
    <w:rsid w:val="006F7D89"/>
    <w:rsid w:val="00700066"/>
    <w:rsid w:val="00700156"/>
    <w:rsid w:val="00700CA0"/>
    <w:rsid w:val="00700D04"/>
    <w:rsid w:val="0070111E"/>
    <w:rsid w:val="00701CAE"/>
    <w:rsid w:val="00701D5A"/>
    <w:rsid w:val="007020D4"/>
    <w:rsid w:val="007020FE"/>
    <w:rsid w:val="00702123"/>
    <w:rsid w:val="00702208"/>
    <w:rsid w:val="00702819"/>
    <w:rsid w:val="00702F90"/>
    <w:rsid w:val="00703592"/>
    <w:rsid w:val="0070362C"/>
    <w:rsid w:val="00704A22"/>
    <w:rsid w:val="00704B30"/>
    <w:rsid w:val="00704D81"/>
    <w:rsid w:val="00704FDB"/>
    <w:rsid w:val="00704FF5"/>
    <w:rsid w:val="0070512B"/>
    <w:rsid w:val="0070530F"/>
    <w:rsid w:val="007053FE"/>
    <w:rsid w:val="0070542E"/>
    <w:rsid w:val="00705648"/>
    <w:rsid w:val="00705AAD"/>
    <w:rsid w:val="00705BFA"/>
    <w:rsid w:val="00705DAA"/>
    <w:rsid w:val="00705EA8"/>
    <w:rsid w:val="00705F49"/>
    <w:rsid w:val="00705FD6"/>
    <w:rsid w:val="00706025"/>
    <w:rsid w:val="007060E9"/>
    <w:rsid w:val="00706379"/>
    <w:rsid w:val="007067C5"/>
    <w:rsid w:val="007067EC"/>
    <w:rsid w:val="00706959"/>
    <w:rsid w:val="0070699B"/>
    <w:rsid w:val="007070BC"/>
    <w:rsid w:val="007073AE"/>
    <w:rsid w:val="00707455"/>
    <w:rsid w:val="00707634"/>
    <w:rsid w:val="00707F50"/>
    <w:rsid w:val="0071028D"/>
    <w:rsid w:val="0071042A"/>
    <w:rsid w:val="007104F3"/>
    <w:rsid w:val="007105CB"/>
    <w:rsid w:val="00711400"/>
    <w:rsid w:val="0071191C"/>
    <w:rsid w:val="00711C96"/>
    <w:rsid w:val="00711DC5"/>
    <w:rsid w:val="007121C5"/>
    <w:rsid w:val="007125B8"/>
    <w:rsid w:val="00712639"/>
    <w:rsid w:val="00712800"/>
    <w:rsid w:val="007128FA"/>
    <w:rsid w:val="007134CB"/>
    <w:rsid w:val="0071372D"/>
    <w:rsid w:val="0071409D"/>
    <w:rsid w:val="007143CA"/>
    <w:rsid w:val="00714AD4"/>
    <w:rsid w:val="00714C96"/>
    <w:rsid w:val="00714D1F"/>
    <w:rsid w:val="00715685"/>
    <w:rsid w:val="007159FC"/>
    <w:rsid w:val="00715B8A"/>
    <w:rsid w:val="0071620F"/>
    <w:rsid w:val="0071684A"/>
    <w:rsid w:val="0071707C"/>
    <w:rsid w:val="0071779A"/>
    <w:rsid w:val="00717A85"/>
    <w:rsid w:val="00717E32"/>
    <w:rsid w:val="0072010A"/>
    <w:rsid w:val="00720141"/>
    <w:rsid w:val="00720874"/>
    <w:rsid w:val="007209B5"/>
    <w:rsid w:val="007214DE"/>
    <w:rsid w:val="0072195D"/>
    <w:rsid w:val="00721A75"/>
    <w:rsid w:val="00721E0B"/>
    <w:rsid w:val="007222DE"/>
    <w:rsid w:val="00722594"/>
    <w:rsid w:val="00722DAE"/>
    <w:rsid w:val="00722F2A"/>
    <w:rsid w:val="0072382F"/>
    <w:rsid w:val="00723B43"/>
    <w:rsid w:val="00723F2D"/>
    <w:rsid w:val="007241C7"/>
    <w:rsid w:val="0072423B"/>
    <w:rsid w:val="0072435A"/>
    <w:rsid w:val="00724402"/>
    <w:rsid w:val="00724568"/>
    <w:rsid w:val="0072460C"/>
    <w:rsid w:val="0072483E"/>
    <w:rsid w:val="00724875"/>
    <w:rsid w:val="00724883"/>
    <w:rsid w:val="0072497A"/>
    <w:rsid w:val="00724AC3"/>
    <w:rsid w:val="007250EF"/>
    <w:rsid w:val="007252FC"/>
    <w:rsid w:val="00725450"/>
    <w:rsid w:val="00725CE8"/>
    <w:rsid w:val="00726082"/>
    <w:rsid w:val="007262AB"/>
    <w:rsid w:val="007267CF"/>
    <w:rsid w:val="00726BB4"/>
    <w:rsid w:val="007270F0"/>
    <w:rsid w:val="00727101"/>
    <w:rsid w:val="007272F8"/>
    <w:rsid w:val="007274B8"/>
    <w:rsid w:val="007276F6"/>
    <w:rsid w:val="007279DD"/>
    <w:rsid w:val="00727E1A"/>
    <w:rsid w:val="00730683"/>
    <w:rsid w:val="00730E4C"/>
    <w:rsid w:val="00731247"/>
    <w:rsid w:val="00731642"/>
    <w:rsid w:val="007316E0"/>
    <w:rsid w:val="007317B9"/>
    <w:rsid w:val="00731D65"/>
    <w:rsid w:val="00732684"/>
    <w:rsid w:val="00732852"/>
    <w:rsid w:val="00732867"/>
    <w:rsid w:val="00732884"/>
    <w:rsid w:val="00732A70"/>
    <w:rsid w:val="00733003"/>
    <w:rsid w:val="007332AF"/>
    <w:rsid w:val="007332E1"/>
    <w:rsid w:val="00733398"/>
    <w:rsid w:val="00734087"/>
    <w:rsid w:val="007342BB"/>
    <w:rsid w:val="00734C16"/>
    <w:rsid w:val="007357C5"/>
    <w:rsid w:val="00735A84"/>
    <w:rsid w:val="00735CAE"/>
    <w:rsid w:val="00735F2B"/>
    <w:rsid w:val="00735F95"/>
    <w:rsid w:val="00736217"/>
    <w:rsid w:val="00736373"/>
    <w:rsid w:val="00736B42"/>
    <w:rsid w:val="007371D1"/>
    <w:rsid w:val="007372C9"/>
    <w:rsid w:val="007375CC"/>
    <w:rsid w:val="007377BF"/>
    <w:rsid w:val="007378B3"/>
    <w:rsid w:val="00737A24"/>
    <w:rsid w:val="00737D0C"/>
    <w:rsid w:val="00737E10"/>
    <w:rsid w:val="00737E13"/>
    <w:rsid w:val="00737FE0"/>
    <w:rsid w:val="0074048A"/>
    <w:rsid w:val="007405AE"/>
    <w:rsid w:val="0074076B"/>
    <w:rsid w:val="00740897"/>
    <w:rsid w:val="00740E18"/>
    <w:rsid w:val="007411CB"/>
    <w:rsid w:val="0074129D"/>
    <w:rsid w:val="00741770"/>
    <w:rsid w:val="0074238A"/>
    <w:rsid w:val="0074247B"/>
    <w:rsid w:val="007424E8"/>
    <w:rsid w:val="00742D28"/>
    <w:rsid w:val="007431DA"/>
    <w:rsid w:val="00743262"/>
    <w:rsid w:val="007435C6"/>
    <w:rsid w:val="00743951"/>
    <w:rsid w:val="00743BD1"/>
    <w:rsid w:val="00743C7D"/>
    <w:rsid w:val="00744205"/>
    <w:rsid w:val="00744766"/>
    <w:rsid w:val="00744995"/>
    <w:rsid w:val="00744B3E"/>
    <w:rsid w:val="00744CC8"/>
    <w:rsid w:val="0074521F"/>
    <w:rsid w:val="0074548B"/>
    <w:rsid w:val="0074551F"/>
    <w:rsid w:val="00745559"/>
    <w:rsid w:val="0074561B"/>
    <w:rsid w:val="00745A4A"/>
    <w:rsid w:val="00745C67"/>
    <w:rsid w:val="00745DC3"/>
    <w:rsid w:val="007467DD"/>
    <w:rsid w:val="00746838"/>
    <w:rsid w:val="00746EBA"/>
    <w:rsid w:val="007471E3"/>
    <w:rsid w:val="007472CA"/>
    <w:rsid w:val="007476CE"/>
    <w:rsid w:val="00747827"/>
    <w:rsid w:val="00747A46"/>
    <w:rsid w:val="00747E1F"/>
    <w:rsid w:val="00747F6B"/>
    <w:rsid w:val="007500EB"/>
    <w:rsid w:val="007506B4"/>
    <w:rsid w:val="00750CF2"/>
    <w:rsid w:val="00750F08"/>
    <w:rsid w:val="00751395"/>
    <w:rsid w:val="00751846"/>
    <w:rsid w:val="007519FA"/>
    <w:rsid w:val="00751FAD"/>
    <w:rsid w:val="00752895"/>
    <w:rsid w:val="00752D87"/>
    <w:rsid w:val="00752DAF"/>
    <w:rsid w:val="0075307E"/>
    <w:rsid w:val="0075370E"/>
    <w:rsid w:val="00753CEE"/>
    <w:rsid w:val="007544B3"/>
    <w:rsid w:val="0075454D"/>
    <w:rsid w:val="00754D96"/>
    <w:rsid w:val="00754E0F"/>
    <w:rsid w:val="00754FD5"/>
    <w:rsid w:val="00755043"/>
    <w:rsid w:val="00755090"/>
    <w:rsid w:val="00755379"/>
    <w:rsid w:val="00755395"/>
    <w:rsid w:val="0075555F"/>
    <w:rsid w:val="007557A1"/>
    <w:rsid w:val="00755A4A"/>
    <w:rsid w:val="00755A78"/>
    <w:rsid w:val="00755E41"/>
    <w:rsid w:val="00756071"/>
    <w:rsid w:val="00756083"/>
    <w:rsid w:val="007561DC"/>
    <w:rsid w:val="00756399"/>
    <w:rsid w:val="007566DB"/>
    <w:rsid w:val="007567FF"/>
    <w:rsid w:val="007569B4"/>
    <w:rsid w:val="00756B8D"/>
    <w:rsid w:val="00757290"/>
    <w:rsid w:val="00757751"/>
    <w:rsid w:val="007579AD"/>
    <w:rsid w:val="00760B05"/>
    <w:rsid w:val="0076149D"/>
    <w:rsid w:val="00761810"/>
    <w:rsid w:val="00761B29"/>
    <w:rsid w:val="0076201F"/>
    <w:rsid w:val="00762366"/>
    <w:rsid w:val="007626B7"/>
    <w:rsid w:val="00762986"/>
    <w:rsid w:val="00762D55"/>
    <w:rsid w:val="00762DF8"/>
    <w:rsid w:val="00762EC6"/>
    <w:rsid w:val="00762EF3"/>
    <w:rsid w:val="007632C2"/>
    <w:rsid w:val="007634E2"/>
    <w:rsid w:val="007638C6"/>
    <w:rsid w:val="007639C4"/>
    <w:rsid w:val="007639ED"/>
    <w:rsid w:val="00763AF5"/>
    <w:rsid w:val="00763C82"/>
    <w:rsid w:val="007642D3"/>
    <w:rsid w:val="007654CB"/>
    <w:rsid w:val="00765A71"/>
    <w:rsid w:val="00765E44"/>
    <w:rsid w:val="00765EE2"/>
    <w:rsid w:val="007668A4"/>
    <w:rsid w:val="00766985"/>
    <w:rsid w:val="00767491"/>
    <w:rsid w:val="007679EA"/>
    <w:rsid w:val="00767A05"/>
    <w:rsid w:val="00767CFE"/>
    <w:rsid w:val="00767D26"/>
    <w:rsid w:val="00767E86"/>
    <w:rsid w:val="0077082A"/>
    <w:rsid w:val="00770DA8"/>
    <w:rsid w:val="007713C9"/>
    <w:rsid w:val="007713FF"/>
    <w:rsid w:val="00771684"/>
    <w:rsid w:val="00771AFA"/>
    <w:rsid w:val="00771C86"/>
    <w:rsid w:val="007721A6"/>
    <w:rsid w:val="007721F0"/>
    <w:rsid w:val="00772393"/>
    <w:rsid w:val="00772434"/>
    <w:rsid w:val="00773241"/>
    <w:rsid w:val="0077336C"/>
    <w:rsid w:val="00773638"/>
    <w:rsid w:val="007737D7"/>
    <w:rsid w:val="0077399E"/>
    <w:rsid w:val="00774166"/>
    <w:rsid w:val="00774290"/>
    <w:rsid w:val="0077472B"/>
    <w:rsid w:val="00774971"/>
    <w:rsid w:val="00774BCF"/>
    <w:rsid w:val="00774CC3"/>
    <w:rsid w:val="00775081"/>
    <w:rsid w:val="00775631"/>
    <w:rsid w:val="0077593B"/>
    <w:rsid w:val="00775B9F"/>
    <w:rsid w:val="007761F0"/>
    <w:rsid w:val="0077685D"/>
    <w:rsid w:val="00776AD0"/>
    <w:rsid w:val="00776B4E"/>
    <w:rsid w:val="00776E86"/>
    <w:rsid w:val="00777620"/>
    <w:rsid w:val="00777621"/>
    <w:rsid w:val="00777822"/>
    <w:rsid w:val="0077783C"/>
    <w:rsid w:val="00777A3A"/>
    <w:rsid w:val="00777A3F"/>
    <w:rsid w:val="00777C95"/>
    <w:rsid w:val="00777E39"/>
    <w:rsid w:val="00780689"/>
    <w:rsid w:val="00780747"/>
    <w:rsid w:val="0078078C"/>
    <w:rsid w:val="00780C0E"/>
    <w:rsid w:val="00780D53"/>
    <w:rsid w:val="00780DBC"/>
    <w:rsid w:val="00781321"/>
    <w:rsid w:val="0078141E"/>
    <w:rsid w:val="00781583"/>
    <w:rsid w:val="0078163D"/>
    <w:rsid w:val="00781744"/>
    <w:rsid w:val="00781CFE"/>
    <w:rsid w:val="00781FF1"/>
    <w:rsid w:val="007820D5"/>
    <w:rsid w:val="00782193"/>
    <w:rsid w:val="007826E2"/>
    <w:rsid w:val="00782766"/>
    <w:rsid w:val="007828AF"/>
    <w:rsid w:val="00782E08"/>
    <w:rsid w:val="007830E9"/>
    <w:rsid w:val="007835A9"/>
    <w:rsid w:val="0078388E"/>
    <w:rsid w:val="00783998"/>
    <w:rsid w:val="00783AB8"/>
    <w:rsid w:val="00783B15"/>
    <w:rsid w:val="00783D5F"/>
    <w:rsid w:val="00784424"/>
    <w:rsid w:val="00784B00"/>
    <w:rsid w:val="00784C39"/>
    <w:rsid w:val="00784EE6"/>
    <w:rsid w:val="007854BB"/>
    <w:rsid w:val="007856FE"/>
    <w:rsid w:val="00785770"/>
    <w:rsid w:val="007858DB"/>
    <w:rsid w:val="00785AEF"/>
    <w:rsid w:val="00785E75"/>
    <w:rsid w:val="00786633"/>
    <w:rsid w:val="00786672"/>
    <w:rsid w:val="00786CFC"/>
    <w:rsid w:val="00787075"/>
    <w:rsid w:val="00787445"/>
    <w:rsid w:val="0078765A"/>
    <w:rsid w:val="00787B7C"/>
    <w:rsid w:val="00787F73"/>
    <w:rsid w:val="0079080A"/>
    <w:rsid w:val="007909DC"/>
    <w:rsid w:val="00791253"/>
    <w:rsid w:val="00791343"/>
    <w:rsid w:val="007918D7"/>
    <w:rsid w:val="00791ACF"/>
    <w:rsid w:val="00791DB3"/>
    <w:rsid w:val="007921DF"/>
    <w:rsid w:val="0079220C"/>
    <w:rsid w:val="007926E2"/>
    <w:rsid w:val="00792953"/>
    <w:rsid w:val="0079297C"/>
    <w:rsid w:val="00792D60"/>
    <w:rsid w:val="00792FD9"/>
    <w:rsid w:val="00793323"/>
    <w:rsid w:val="007934A8"/>
    <w:rsid w:val="007934D1"/>
    <w:rsid w:val="00793A65"/>
    <w:rsid w:val="0079405C"/>
    <w:rsid w:val="00794787"/>
    <w:rsid w:val="00794D67"/>
    <w:rsid w:val="0079537A"/>
    <w:rsid w:val="0079555A"/>
    <w:rsid w:val="007958FF"/>
    <w:rsid w:val="00795D2C"/>
    <w:rsid w:val="007964B8"/>
    <w:rsid w:val="0079658C"/>
    <w:rsid w:val="0079665E"/>
    <w:rsid w:val="00796CFD"/>
    <w:rsid w:val="00797279"/>
    <w:rsid w:val="00797A51"/>
    <w:rsid w:val="00797C34"/>
    <w:rsid w:val="00797CB7"/>
    <w:rsid w:val="00797CCB"/>
    <w:rsid w:val="00797E2D"/>
    <w:rsid w:val="00797EF5"/>
    <w:rsid w:val="007A02FC"/>
    <w:rsid w:val="007A0942"/>
    <w:rsid w:val="007A0B22"/>
    <w:rsid w:val="007A0C66"/>
    <w:rsid w:val="007A15AB"/>
    <w:rsid w:val="007A17D0"/>
    <w:rsid w:val="007A1B35"/>
    <w:rsid w:val="007A1C2C"/>
    <w:rsid w:val="007A1E56"/>
    <w:rsid w:val="007A27BF"/>
    <w:rsid w:val="007A2864"/>
    <w:rsid w:val="007A333C"/>
    <w:rsid w:val="007A3748"/>
    <w:rsid w:val="007A42C7"/>
    <w:rsid w:val="007A45AE"/>
    <w:rsid w:val="007A4AC0"/>
    <w:rsid w:val="007A5223"/>
    <w:rsid w:val="007A5622"/>
    <w:rsid w:val="007A5675"/>
    <w:rsid w:val="007A5ADF"/>
    <w:rsid w:val="007A5D5D"/>
    <w:rsid w:val="007A6219"/>
    <w:rsid w:val="007A6374"/>
    <w:rsid w:val="007A6B70"/>
    <w:rsid w:val="007A6E6F"/>
    <w:rsid w:val="007A70AA"/>
    <w:rsid w:val="007A7A29"/>
    <w:rsid w:val="007B0160"/>
    <w:rsid w:val="007B0597"/>
    <w:rsid w:val="007B0761"/>
    <w:rsid w:val="007B10E1"/>
    <w:rsid w:val="007B1783"/>
    <w:rsid w:val="007B18C9"/>
    <w:rsid w:val="007B1A33"/>
    <w:rsid w:val="007B1A74"/>
    <w:rsid w:val="007B20EB"/>
    <w:rsid w:val="007B2416"/>
    <w:rsid w:val="007B24B8"/>
    <w:rsid w:val="007B276F"/>
    <w:rsid w:val="007B2A27"/>
    <w:rsid w:val="007B3080"/>
    <w:rsid w:val="007B325B"/>
    <w:rsid w:val="007B3553"/>
    <w:rsid w:val="007B3C63"/>
    <w:rsid w:val="007B3DA6"/>
    <w:rsid w:val="007B3E67"/>
    <w:rsid w:val="007B472E"/>
    <w:rsid w:val="007B4A55"/>
    <w:rsid w:val="007B4AAE"/>
    <w:rsid w:val="007B4D69"/>
    <w:rsid w:val="007B4DF0"/>
    <w:rsid w:val="007B4E64"/>
    <w:rsid w:val="007B55A1"/>
    <w:rsid w:val="007B565A"/>
    <w:rsid w:val="007B5664"/>
    <w:rsid w:val="007B5A2A"/>
    <w:rsid w:val="007B5AA8"/>
    <w:rsid w:val="007B5CA2"/>
    <w:rsid w:val="007B61F3"/>
    <w:rsid w:val="007B680D"/>
    <w:rsid w:val="007B6BB5"/>
    <w:rsid w:val="007B6CD5"/>
    <w:rsid w:val="007B6E30"/>
    <w:rsid w:val="007B6FF5"/>
    <w:rsid w:val="007B7432"/>
    <w:rsid w:val="007B7523"/>
    <w:rsid w:val="007B7789"/>
    <w:rsid w:val="007B7C93"/>
    <w:rsid w:val="007B7CBC"/>
    <w:rsid w:val="007B7FA7"/>
    <w:rsid w:val="007C0013"/>
    <w:rsid w:val="007C01D5"/>
    <w:rsid w:val="007C02DC"/>
    <w:rsid w:val="007C03C6"/>
    <w:rsid w:val="007C03FE"/>
    <w:rsid w:val="007C0B65"/>
    <w:rsid w:val="007C0C84"/>
    <w:rsid w:val="007C0F79"/>
    <w:rsid w:val="007C109D"/>
    <w:rsid w:val="007C116A"/>
    <w:rsid w:val="007C12B2"/>
    <w:rsid w:val="007C138C"/>
    <w:rsid w:val="007C145C"/>
    <w:rsid w:val="007C17DB"/>
    <w:rsid w:val="007C1DF9"/>
    <w:rsid w:val="007C20D7"/>
    <w:rsid w:val="007C23FF"/>
    <w:rsid w:val="007C245F"/>
    <w:rsid w:val="007C2471"/>
    <w:rsid w:val="007C2A25"/>
    <w:rsid w:val="007C2CF7"/>
    <w:rsid w:val="007C318D"/>
    <w:rsid w:val="007C3198"/>
    <w:rsid w:val="007C3488"/>
    <w:rsid w:val="007C3803"/>
    <w:rsid w:val="007C3A28"/>
    <w:rsid w:val="007C3D6B"/>
    <w:rsid w:val="007C4009"/>
    <w:rsid w:val="007C4051"/>
    <w:rsid w:val="007C4143"/>
    <w:rsid w:val="007C4371"/>
    <w:rsid w:val="007C45C1"/>
    <w:rsid w:val="007C4679"/>
    <w:rsid w:val="007C4AF2"/>
    <w:rsid w:val="007C4C15"/>
    <w:rsid w:val="007C4DB1"/>
    <w:rsid w:val="007C4FEB"/>
    <w:rsid w:val="007C51C2"/>
    <w:rsid w:val="007C525E"/>
    <w:rsid w:val="007C537E"/>
    <w:rsid w:val="007C5B83"/>
    <w:rsid w:val="007C5C63"/>
    <w:rsid w:val="007C5FCF"/>
    <w:rsid w:val="007C6BBC"/>
    <w:rsid w:val="007C7045"/>
    <w:rsid w:val="007C72D0"/>
    <w:rsid w:val="007C7591"/>
    <w:rsid w:val="007C76C8"/>
    <w:rsid w:val="007C7A83"/>
    <w:rsid w:val="007C7C52"/>
    <w:rsid w:val="007C7F17"/>
    <w:rsid w:val="007C7F50"/>
    <w:rsid w:val="007C7FB2"/>
    <w:rsid w:val="007D0463"/>
    <w:rsid w:val="007D06DC"/>
    <w:rsid w:val="007D0904"/>
    <w:rsid w:val="007D0B61"/>
    <w:rsid w:val="007D0B97"/>
    <w:rsid w:val="007D134A"/>
    <w:rsid w:val="007D1814"/>
    <w:rsid w:val="007D18B9"/>
    <w:rsid w:val="007D1F72"/>
    <w:rsid w:val="007D2288"/>
    <w:rsid w:val="007D2733"/>
    <w:rsid w:val="007D2978"/>
    <w:rsid w:val="007D29BD"/>
    <w:rsid w:val="007D30E9"/>
    <w:rsid w:val="007D3749"/>
    <w:rsid w:val="007D3856"/>
    <w:rsid w:val="007D400A"/>
    <w:rsid w:val="007D4166"/>
    <w:rsid w:val="007D4285"/>
    <w:rsid w:val="007D45CE"/>
    <w:rsid w:val="007D483B"/>
    <w:rsid w:val="007D4E6C"/>
    <w:rsid w:val="007D4F8E"/>
    <w:rsid w:val="007D51A2"/>
    <w:rsid w:val="007D5250"/>
    <w:rsid w:val="007D5B13"/>
    <w:rsid w:val="007D5D7B"/>
    <w:rsid w:val="007D5F45"/>
    <w:rsid w:val="007D5F9B"/>
    <w:rsid w:val="007D60F1"/>
    <w:rsid w:val="007D6127"/>
    <w:rsid w:val="007D6669"/>
    <w:rsid w:val="007D6946"/>
    <w:rsid w:val="007D6A17"/>
    <w:rsid w:val="007D6D39"/>
    <w:rsid w:val="007D72CA"/>
    <w:rsid w:val="007D73BE"/>
    <w:rsid w:val="007D7940"/>
    <w:rsid w:val="007D7D59"/>
    <w:rsid w:val="007D7EDE"/>
    <w:rsid w:val="007E00CC"/>
    <w:rsid w:val="007E0198"/>
    <w:rsid w:val="007E0420"/>
    <w:rsid w:val="007E077D"/>
    <w:rsid w:val="007E0DD7"/>
    <w:rsid w:val="007E0E56"/>
    <w:rsid w:val="007E0E66"/>
    <w:rsid w:val="007E1296"/>
    <w:rsid w:val="007E1463"/>
    <w:rsid w:val="007E164A"/>
    <w:rsid w:val="007E1DBB"/>
    <w:rsid w:val="007E1E11"/>
    <w:rsid w:val="007E2013"/>
    <w:rsid w:val="007E234F"/>
    <w:rsid w:val="007E2391"/>
    <w:rsid w:val="007E241C"/>
    <w:rsid w:val="007E254E"/>
    <w:rsid w:val="007E25E8"/>
    <w:rsid w:val="007E2736"/>
    <w:rsid w:val="007E2879"/>
    <w:rsid w:val="007E2D91"/>
    <w:rsid w:val="007E2DE6"/>
    <w:rsid w:val="007E2EDF"/>
    <w:rsid w:val="007E2FEB"/>
    <w:rsid w:val="007E33B6"/>
    <w:rsid w:val="007E34B7"/>
    <w:rsid w:val="007E3CE3"/>
    <w:rsid w:val="007E3DCC"/>
    <w:rsid w:val="007E40B3"/>
    <w:rsid w:val="007E40F6"/>
    <w:rsid w:val="007E4403"/>
    <w:rsid w:val="007E4A36"/>
    <w:rsid w:val="007E4C1D"/>
    <w:rsid w:val="007E4D64"/>
    <w:rsid w:val="007E503C"/>
    <w:rsid w:val="007E57BF"/>
    <w:rsid w:val="007E5EEC"/>
    <w:rsid w:val="007E5F12"/>
    <w:rsid w:val="007E63B0"/>
    <w:rsid w:val="007E6616"/>
    <w:rsid w:val="007E66F3"/>
    <w:rsid w:val="007E6840"/>
    <w:rsid w:val="007E6A63"/>
    <w:rsid w:val="007E6F60"/>
    <w:rsid w:val="007E708B"/>
    <w:rsid w:val="007E710F"/>
    <w:rsid w:val="007E71C9"/>
    <w:rsid w:val="007E7326"/>
    <w:rsid w:val="007E737B"/>
    <w:rsid w:val="007F00F7"/>
    <w:rsid w:val="007F08DB"/>
    <w:rsid w:val="007F0945"/>
    <w:rsid w:val="007F0D15"/>
    <w:rsid w:val="007F0DED"/>
    <w:rsid w:val="007F111D"/>
    <w:rsid w:val="007F138F"/>
    <w:rsid w:val="007F1733"/>
    <w:rsid w:val="007F17D3"/>
    <w:rsid w:val="007F1A53"/>
    <w:rsid w:val="007F214E"/>
    <w:rsid w:val="007F22E5"/>
    <w:rsid w:val="007F2593"/>
    <w:rsid w:val="007F2B10"/>
    <w:rsid w:val="007F2FAC"/>
    <w:rsid w:val="007F3132"/>
    <w:rsid w:val="007F31AF"/>
    <w:rsid w:val="007F3394"/>
    <w:rsid w:val="007F3BD9"/>
    <w:rsid w:val="007F4146"/>
    <w:rsid w:val="007F4827"/>
    <w:rsid w:val="007F58F6"/>
    <w:rsid w:val="007F5B2A"/>
    <w:rsid w:val="007F6477"/>
    <w:rsid w:val="007F6A43"/>
    <w:rsid w:val="007F6C2F"/>
    <w:rsid w:val="007F6E07"/>
    <w:rsid w:val="007F71AB"/>
    <w:rsid w:val="007F7310"/>
    <w:rsid w:val="007F7904"/>
    <w:rsid w:val="007F7C73"/>
    <w:rsid w:val="007F7F63"/>
    <w:rsid w:val="0080008A"/>
    <w:rsid w:val="0080073A"/>
    <w:rsid w:val="00800DFE"/>
    <w:rsid w:val="00800F0D"/>
    <w:rsid w:val="00800F9D"/>
    <w:rsid w:val="008011B2"/>
    <w:rsid w:val="0080123B"/>
    <w:rsid w:val="00801E21"/>
    <w:rsid w:val="0080258E"/>
    <w:rsid w:val="00802983"/>
    <w:rsid w:val="00802A22"/>
    <w:rsid w:val="00802FDB"/>
    <w:rsid w:val="00803143"/>
    <w:rsid w:val="0080342E"/>
    <w:rsid w:val="00803F4A"/>
    <w:rsid w:val="00803F9D"/>
    <w:rsid w:val="0080460E"/>
    <w:rsid w:val="0080478D"/>
    <w:rsid w:val="00805041"/>
    <w:rsid w:val="00805CD9"/>
    <w:rsid w:val="00806188"/>
    <w:rsid w:val="00806550"/>
    <w:rsid w:val="00806833"/>
    <w:rsid w:val="008068F0"/>
    <w:rsid w:val="00806983"/>
    <w:rsid w:val="00806BB0"/>
    <w:rsid w:val="00806C82"/>
    <w:rsid w:val="00806CE0"/>
    <w:rsid w:val="0080728D"/>
    <w:rsid w:val="008072FB"/>
    <w:rsid w:val="008074FB"/>
    <w:rsid w:val="00807B26"/>
    <w:rsid w:val="00807C43"/>
    <w:rsid w:val="00807F81"/>
    <w:rsid w:val="008106B3"/>
    <w:rsid w:val="0081071D"/>
    <w:rsid w:val="00810724"/>
    <w:rsid w:val="008109AD"/>
    <w:rsid w:val="00810E83"/>
    <w:rsid w:val="00810F34"/>
    <w:rsid w:val="0081107B"/>
    <w:rsid w:val="008118B9"/>
    <w:rsid w:val="00811E97"/>
    <w:rsid w:val="00812027"/>
    <w:rsid w:val="008122F5"/>
    <w:rsid w:val="0081369A"/>
    <w:rsid w:val="00813925"/>
    <w:rsid w:val="00813C91"/>
    <w:rsid w:val="00813D1A"/>
    <w:rsid w:val="00813F3D"/>
    <w:rsid w:val="008142D8"/>
    <w:rsid w:val="0081440B"/>
    <w:rsid w:val="008147D7"/>
    <w:rsid w:val="00814931"/>
    <w:rsid w:val="0081493B"/>
    <w:rsid w:val="00814CEF"/>
    <w:rsid w:val="008152B7"/>
    <w:rsid w:val="008155BF"/>
    <w:rsid w:val="00815705"/>
    <w:rsid w:val="00815811"/>
    <w:rsid w:val="00815956"/>
    <w:rsid w:val="00815BBE"/>
    <w:rsid w:val="00815CDA"/>
    <w:rsid w:val="0081610B"/>
    <w:rsid w:val="008161F1"/>
    <w:rsid w:val="00816ADB"/>
    <w:rsid w:val="00816CA3"/>
    <w:rsid w:val="00816E24"/>
    <w:rsid w:val="00816F03"/>
    <w:rsid w:val="00817AB0"/>
    <w:rsid w:val="00817C62"/>
    <w:rsid w:val="008200CF"/>
    <w:rsid w:val="008201C1"/>
    <w:rsid w:val="00820428"/>
    <w:rsid w:val="0082090B"/>
    <w:rsid w:val="00820A25"/>
    <w:rsid w:val="00820B0A"/>
    <w:rsid w:val="00820E6F"/>
    <w:rsid w:val="00821043"/>
    <w:rsid w:val="00821691"/>
    <w:rsid w:val="00821B7C"/>
    <w:rsid w:val="00821B88"/>
    <w:rsid w:val="00821CC2"/>
    <w:rsid w:val="00822048"/>
    <w:rsid w:val="0082232C"/>
    <w:rsid w:val="00822AAC"/>
    <w:rsid w:val="00822C29"/>
    <w:rsid w:val="00823178"/>
    <w:rsid w:val="00823503"/>
    <w:rsid w:val="0082385D"/>
    <w:rsid w:val="00823CB4"/>
    <w:rsid w:val="00823CF1"/>
    <w:rsid w:val="00824224"/>
    <w:rsid w:val="0082463D"/>
    <w:rsid w:val="00824939"/>
    <w:rsid w:val="008249B2"/>
    <w:rsid w:val="00824A4A"/>
    <w:rsid w:val="00824C9F"/>
    <w:rsid w:val="00824F09"/>
    <w:rsid w:val="0082518C"/>
    <w:rsid w:val="008251A1"/>
    <w:rsid w:val="008255E4"/>
    <w:rsid w:val="00825B34"/>
    <w:rsid w:val="00825BA8"/>
    <w:rsid w:val="00825CEE"/>
    <w:rsid w:val="00825F13"/>
    <w:rsid w:val="00826302"/>
    <w:rsid w:val="00826892"/>
    <w:rsid w:val="00826D69"/>
    <w:rsid w:val="008271CC"/>
    <w:rsid w:val="0082727D"/>
    <w:rsid w:val="00830070"/>
    <w:rsid w:val="0083057D"/>
    <w:rsid w:val="00830688"/>
    <w:rsid w:val="0083071E"/>
    <w:rsid w:val="008307C7"/>
    <w:rsid w:val="00830DE6"/>
    <w:rsid w:val="00830F50"/>
    <w:rsid w:val="008313AC"/>
    <w:rsid w:val="0083153D"/>
    <w:rsid w:val="008318CA"/>
    <w:rsid w:val="0083191B"/>
    <w:rsid w:val="00831E45"/>
    <w:rsid w:val="00832209"/>
    <w:rsid w:val="008325D6"/>
    <w:rsid w:val="00833278"/>
    <w:rsid w:val="00833366"/>
    <w:rsid w:val="0083358A"/>
    <w:rsid w:val="0083380A"/>
    <w:rsid w:val="008338C1"/>
    <w:rsid w:val="00833B1B"/>
    <w:rsid w:val="00833EE7"/>
    <w:rsid w:val="00834336"/>
    <w:rsid w:val="00834456"/>
    <w:rsid w:val="00834543"/>
    <w:rsid w:val="00834759"/>
    <w:rsid w:val="0083496F"/>
    <w:rsid w:val="00834A5F"/>
    <w:rsid w:val="00834B52"/>
    <w:rsid w:val="00834DF0"/>
    <w:rsid w:val="00834E7C"/>
    <w:rsid w:val="0083546B"/>
    <w:rsid w:val="00835495"/>
    <w:rsid w:val="0083562D"/>
    <w:rsid w:val="008358DB"/>
    <w:rsid w:val="00835DCB"/>
    <w:rsid w:val="00835DDD"/>
    <w:rsid w:val="00835F81"/>
    <w:rsid w:val="008363B3"/>
    <w:rsid w:val="0083669B"/>
    <w:rsid w:val="00836986"/>
    <w:rsid w:val="00836B51"/>
    <w:rsid w:val="00837097"/>
    <w:rsid w:val="00837309"/>
    <w:rsid w:val="0083742C"/>
    <w:rsid w:val="00837849"/>
    <w:rsid w:val="008379C8"/>
    <w:rsid w:val="00837FAD"/>
    <w:rsid w:val="0084009D"/>
    <w:rsid w:val="008401BD"/>
    <w:rsid w:val="0084049A"/>
    <w:rsid w:val="00840C48"/>
    <w:rsid w:val="00841365"/>
    <w:rsid w:val="008415BB"/>
    <w:rsid w:val="008418EF"/>
    <w:rsid w:val="00841CBC"/>
    <w:rsid w:val="00841D3B"/>
    <w:rsid w:val="00841E15"/>
    <w:rsid w:val="008423F5"/>
    <w:rsid w:val="008425AB"/>
    <w:rsid w:val="008426B9"/>
    <w:rsid w:val="00842802"/>
    <w:rsid w:val="0084297C"/>
    <w:rsid w:val="00842B11"/>
    <w:rsid w:val="00842BF8"/>
    <w:rsid w:val="00842C1F"/>
    <w:rsid w:val="00842D31"/>
    <w:rsid w:val="0084311D"/>
    <w:rsid w:val="00843243"/>
    <w:rsid w:val="00843362"/>
    <w:rsid w:val="0084350F"/>
    <w:rsid w:val="00843534"/>
    <w:rsid w:val="008436A3"/>
    <w:rsid w:val="00844359"/>
    <w:rsid w:val="0084460A"/>
    <w:rsid w:val="00844663"/>
    <w:rsid w:val="008447F1"/>
    <w:rsid w:val="008448E9"/>
    <w:rsid w:val="00844E25"/>
    <w:rsid w:val="008451E1"/>
    <w:rsid w:val="00845287"/>
    <w:rsid w:val="00845701"/>
    <w:rsid w:val="0084589C"/>
    <w:rsid w:val="00845B99"/>
    <w:rsid w:val="00845EB4"/>
    <w:rsid w:val="0084612A"/>
    <w:rsid w:val="008467C0"/>
    <w:rsid w:val="00846814"/>
    <w:rsid w:val="0084706B"/>
    <w:rsid w:val="00847274"/>
    <w:rsid w:val="0084737F"/>
    <w:rsid w:val="00847609"/>
    <w:rsid w:val="00847775"/>
    <w:rsid w:val="00847F77"/>
    <w:rsid w:val="008502C5"/>
    <w:rsid w:val="008507B3"/>
    <w:rsid w:val="00850CC7"/>
    <w:rsid w:val="00850F65"/>
    <w:rsid w:val="00851B50"/>
    <w:rsid w:val="00852153"/>
    <w:rsid w:val="00852191"/>
    <w:rsid w:val="0085236D"/>
    <w:rsid w:val="0085241F"/>
    <w:rsid w:val="00852C91"/>
    <w:rsid w:val="00852CFD"/>
    <w:rsid w:val="00852ED2"/>
    <w:rsid w:val="00853244"/>
    <w:rsid w:val="008532DE"/>
    <w:rsid w:val="00853773"/>
    <w:rsid w:val="00853A2A"/>
    <w:rsid w:val="00853CD2"/>
    <w:rsid w:val="008542CE"/>
    <w:rsid w:val="00854300"/>
    <w:rsid w:val="0085430B"/>
    <w:rsid w:val="008547D0"/>
    <w:rsid w:val="0085492D"/>
    <w:rsid w:val="00854E82"/>
    <w:rsid w:val="0085554A"/>
    <w:rsid w:val="00855F0D"/>
    <w:rsid w:val="00856086"/>
    <w:rsid w:val="008561BF"/>
    <w:rsid w:val="008564FF"/>
    <w:rsid w:val="00856CB7"/>
    <w:rsid w:val="0085704D"/>
    <w:rsid w:val="0085753F"/>
    <w:rsid w:val="008578DC"/>
    <w:rsid w:val="00857A55"/>
    <w:rsid w:val="00857A97"/>
    <w:rsid w:val="00857E97"/>
    <w:rsid w:val="008600B8"/>
    <w:rsid w:val="00860D95"/>
    <w:rsid w:val="00861666"/>
    <w:rsid w:val="008616C3"/>
    <w:rsid w:val="00861841"/>
    <w:rsid w:val="00861A65"/>
    <w:rsid w:val="00861CAB"/>
    <w:rsid w:val="00861CC7"/>
    <w:rsid w:val="00861EF8"/>
    <w:rsid w:val="0086272F"/>
    <w:rsid w:val="00862745"/>
    <w:rsid w:val="008627D6"/>
    <w:rsid w:val="00862BFB"/>
    <w:rsid w:val="008630BF"/>
    <w:rsid w:val="0086310B"/>
    <w:rsid w:val="008632C4"/>
    <w:rsid w:val="00863631"/>
    <w:rsid w:val="00863864"/>
    <w:rsid w:val="00863AF7"/>
    <w:rsid w:val="00863D25"/>
    <w:rsid w:val="008644E7"/>
    <w:rsid w:val="0086450F"/>
    <w:rsid w:val="00864C26"/>
    <w:rsid w:val="00864CC6"/>
    <w:rsid w:val="008650BA"/>
    <w:rsid w:val="008650C8"/>
    <w:rsid w:val="0086556B"/>
    <w:rsid w:val="00865861"/>
    <w:rsid w:val="00865A0C"/>
    <w:rsid w:val="00865A7C"/>
    <w:rsid w:val="00865CFC"/>
    <w:rsid w:val="0086603B"/>
    <w:rsid w:val="00866179"/>
    <w:rsid w:val="00866233"/>
    <w:rsid w:val="008669F5"/>
    <w:rsid w:val="00866ED1"/>
    <w:rsid w:val="00867114"/>
    <w:rsid w:val="00867624"/>
    <w:rsid w:val="008676CB"/>
    <w:rsid w:val="00867AA6"/>
    <w:rsid w:val="00867ACE"/>
    <w:rsid w:val="00867EF5"/>
    <w:rsid w:val="00867F5C"/>
    <w:rsid w:val="008703DE"/>
    <w:rsid w:val="00870904"/>
    <w:rsid w:val="00870DFA"/>
    <w:rsid w:val="00871D10"/>
    <w:rsid w:val="00871EB8"/>
    <w:rsid w:val="00872189"/>
    <w:rsid w:val="00872398"/>
    <w:rsid w:val="00872908"/>
    <w:rsid w:val="008731A4"/>
    <w:rsid w:val="00873287"/>
    <w:rsid w:val="0087358D"/>
    <w:rsid w:val="008735A8"/>
    <w:rsid w:val="0087360E"/>
    <w:rsid w:val="00873752"/>
    <w:rsid w:val="00873C16"/>
    <w:rsid w:val="00873FD3"/>
    <w:rsid w:val="0087400E"/>
    <w:rsid w:val="00874702"/>
    <w:rsid w:val="0087473A"/>
    <w:rsid w:val="008748A8"/>
    <w:rsid w:val="0087497C"/>
    <w:rsid w:val="00874F3F"/>
    <w:rsid w:val="00875183"/>
    <w:rsid w:val="008753C2"/>
    <w:rsid w:val="00875731"/>
    <w:rsid w:val="008757E7"/>
    <w:rsid w:val="00875CA0"/>
    <w:rsid w:val="00875FAD"/>
    <w:rsid w:val="0087615C"/>
    <w:rsid w:val="0087653F"/>
    <w:rsid w:val="008765F6"/>
    <w:rsid w:val="00876CEA"/>
    <w:rsid w:val="008770DE"/>
    <w:rsid w:val="0087748D"/>
    <w:rsid w:val="0087772A"/>
    <w:rsid w:val="00877732"/>
    <w:rsid w:val="008778E3"/>
    <w:rsid w:val="0087790E"/>
    <w:rsid w:val="0088007C"/>
    <w:rsid w:val="0088010B"/>
    <w:rsid w:val="00880148"/>
    <w:rsid w:val="00880236"/>
    <w:rsid w:val="008802D8"/>
    <w:rsid w:val="008809E7"/>
    <w:rsid w:val="00880C31"/>
    <w:rsid w:val="00880E8B"/>
    <w:rsid w:val="00880EA3"/>
    <w:rsid w:val="00880F6E"/>
    <w:rsid w:val="00881183"/>
    <w:rsid w:val="008814AF"/>
    <w:rsid w:val="00881CDA"/>
    <w:rsid w:val="0088254F"/>
    <w:rsid w:val="008829C5"/>
    <w:rsid w:val="00882A90"/>
    <w:rsid w:val="00882C2A"/>
    <w:rsid w:val="00882DA4"/>
    <w:rsid w:val="00882ED4"/>
    <w:rsid w:val="00883094"/>
    <w:rsid w:val="008835A7"/>
    <w:rsid w:val="008837DA"/>
    <w:rsid w:val="00883B35"/>
    <w:rsid w:val="00883B52"/>
    <w:rsid w:val="008844D6"/>
    <w:rsid w:val="0088468D"/>
    <w:rsid w:val="00884698"/>
    <w:rsid w:val="00884CCD"/>
    <w:rsid w:val="0088512A"/>
    <w:rsid w:val="00885207"/>
    <w:rsid w:val="008853BE"/>
    <w:rsid w:val="00885499"/>
    <w:rsid w:val="00885A91"/>
    <w:rsid w:val="00885F25"/>
    <w:rsid w:val="00885FAE"/>
    <w:rsid w:val="00886177"/>
    <w:rsid w:val="00886676"/>
    <w:rsid w:val="008868A4"/>
    <w:rsid w:val="00886D6C"/>
    <w:rsid w:val="00887348"/>
    <w:rsid w:val="008873FF"/>
    <w:rsid w:val="00887DF8"/>
    <w:rsid w:val="00887FB6"/>
    <w:rsid w:val="00890313"/>
    <w:rsid w:val="0089039E"/>
    <w:rsid w:val="00890D90"/>
    <w:rsid w:val="00891494"/>
    <w:rsid w:val="00891BCC"/>
    <w:rsid w:val="00891D3F"/>
    <w:rsid w:val="0089315D"/>
    <w:rsid w:val="0089334A"/>
    <w:rsid w:val="008936E8"/>
    <w:rsid w:val="00893855"/>
    <w:rsid w:val="00893A01"/>
    <w:rsid w:val="00893A83"/>
    <w:rsid w:val="00893F3E"/>
    <w:rsid w:val="0089415D"/>
    <w:rsid w:val="0089430C"/>
    <w:rsid w:val="008943E8"/>
    <w:rsid w:val="00894779"/>
    <w:rsid w:val="00894950"/>
    <w:rsid w:val="00894A46"/>
    <w:rsid w:val="00894DDC"/>
    <w:rsid w:val="00894FE3"/>
    <w:rsid w:val="008950D9"/>
    <w:rsid w:val="00895108"/>
    <w:rsid w:val="008956A1"/>
    <w:rsid w:val="00895FCD"/>
    <w:rsid w:val="0089603C"/>
    <w:rsid w:val="008961C7"/>
    <w:rsid w:val="00896852"/>
    <w:rsid w:val="008969D2"/>
    <w:rsid w:val="00896A17"/>
    <w:rsid w:val="00897139"/>
    <w:rsid w:val="008971A9"/>
    <w:rsid w:val="008973E7"/>
    <w:rsid w:val="008979FE"/>
    <w:rsid w:val="00897EC0"/>
    <w:rsid w:val="008A0593"/>
    <w:rsid w:val="008A07D4"/>
    <w:rsid w:val="008A0827"/>
    <w:rsid w:val="008A08E9"/>
    <w:rsid w:val="008A0C7C"/>
    <w:rsid w:val="008A10BA"/>
    <w:rsid w:val="008A11F8"/>
    <w:rsid w:val="008A1AAC"/>
    <w:rsid w:val="008A1C98"/>
    <w:rsid w:val="008A203D"/>
    <w:rsid w:val="008A22D2"/>
    <w:rsid w:val="008A25E9"/>
    <w:rsid w:val="008A2D5E"/>
    <w:rsid w:val="008A2DF4"/>
    <w:rsid w:val="008A2F1B"/>
    <w:rsid w:val="008A2F2D"/>
    <w:rsid w:val="008A2F62"/>
    <w:rsid w:val="008A3279"/>
    <w:rsid w:val="008A3310"/>
    <w:rsid w:val="008A3BE8"/>
    <w:rsid w:val="008A3EDA"/>
    <w:rsid w:val="008A41BD"/>
    <w:rsid w:val="008A451A"/>
    <w:rsid w:val="008A4A90"/>
    <w:rsid w:val="008A4C5A"/>
    <w:rsid w:val="008A4D0A"/>
    <w:rsid w:val="008A509D"/>
    <w:rsid w:val="008A5433"/>
    <w:rsid w:val="008A5821"/>
    <w:rsid w:val="008A5EF3"/>
    <w:rsid w:val="008A6031"/>
    <w:rsid w:val="008A6351"/>
    <w:rsid w:val="008A6597"/>
    <w:rsid w:val="008A6FC9"/>
    <w:rsid w:val="008A7018"/>
    <w:rsid w:val="008A7202"/>
    <w:rsid w:val="008A75C4"/>
    <w:rsid w:val="008A7AC7"/>
    <w:rsid w:val="008A7B5A"/>
    <w:rsid w:val="008A7F7C"/>
    <w:rsid w:val="008B03C2"/>
    <w:rsid w:val="008B05C4"/>
    <w:rsid w:val="008B0796"/>
    <w:rsid w:val="008B12A0"/>
    <w:rsid w:val="008B15C6"/>
    <w:rsid w:val="008B1789"/>
    <w:rsid w:val="008B1C0F"/>
    <w:rsid w:val="008B2564"/>
    <w:rsid w:val="008B25FA"/>
    <w:rsid w:val="008B2672"/>
    <w:rsid w:val="008B2C7B"/>
    <w:rsid w:val="008B2E6D"/>
    <w:rsid w:val="008B36E6"/>
    <w:rsid w:val="008B38E5"/>
    <w:rsid w:val="008B3AE9"/>
    <w:rsid w:val="008B3ECC"/>
    <w:rsid w:val="008B3F4A"/>
    <w:rsid w:val="008B4CBA"/>
    <w:rsid w:val="008B51D5"/>
    <w:rsid w:val="008B55D6"/>
    <w:rsid w:val="008B57FF"/>
    <w:rsid w:val="008B581E"/>
    <w:rsid w:val="008B5DBB"/>
    <w:rsid w:val="008B6139"/>
    <w:rsid w:val="008B61BB"/>
    <w:rsid w:val="008B6267"/>
    <w:rsid w:val="008B656C"/>
    <w:rsid w:val="008B65C0"/>
    <w:rsid w:val="008B6AAE"/>
    <w:rsid w:val="008B6B95"/>
    <w:rsid w:val="008B6DCB"/>
    <w:rsid w:val="008B73F1"/>
    <w:rsid w:val="008B79B4"/>
    <w:rsid w:val="008B7ED5"/>
    <w:rsid w:val="008B7F54"/>
    <w:rsid w:val="008C0034"/>
    <w:rsid w:val="008C00A2"/>
    <w:rsid w:val="008C03BC"/>
    <w:rsid w:val="008C067C"/>
    <w:rsid w:val="008C099A"/>
    <w:rsid w:val="008C0B12"/>
    <w:rsid w:val="008C0B3B"/>
    <w:rsid w:val="008C0CCD"/>
    <w:rsid w:val="008C0F35"/>
    <w:rsid w:val="008C0F47"/>
    <w:rsid w:val="008C1314"/>
    <w:rsid w:val="008C1412"/>
    <w:rsid w:val="008C17B8"/>
    <w:rsid w:val="008C1A6B"/>
    <w:rsid w:val="008C1DBF"/>
    <w:rsid w:val="008C206A"/>
    <w:rsid w:val="008C20A1"/>
    <w:rsid w:val="008C22BA"/>
    <w:rsid w:val="008C22D3"/>
    <w:rsid w:val="008C252A"/>
    <w:rsid w:val="008C2CC6"/>
    <w:rsid w:val="008C330F"/>
    <w:rsid w:val="008C3431"/>
    <w:rsid w:val="008C3896"/>
    <w:rsid w:val="008C3E94"/>
    <w:rsid w:val="008C4322"/>
    <w:rsid w:val="008C4385"/>
    <w:rsid w:val="008C4390"/>
    <w:rsid w:val="008C46C1"/>
    <w:rsid w:val="008C4A95"/>
    <w:rsid w:val="008C50DD"/>
    <w:rsid w:val="008C50EA"/>
    <w:rsid w:val="008C5151"/>
    <w:rsid w:val="008C5713"/>
    <w:rsid w:val="008C5AA6"/>
    <w:rsid w:val="008C5C95"/>
    <w:rsid w:val="008C6287"/>
    <w:rsid w:val="008C65A0"/>
    <w:rsid w:val="008C6E5B"/>
    <w:rsid w:val="008C72E0"/>
    <w:rsid w:val="008C7B31"/>
    <w:rsid w:val="008C7B34"/>
    <w:rsid w:val="008D0671"/>
    <w:rsid w:val="008D0A1A"/>
    <w:rsid w:val="008D0ECB"/>
    <w:rsid w:val="008D14CD"/>
    <w:rsid w:val="008D17F8"/>
    <w:rsid w:val="008D1BEE"/>
    <w:rsid w:val="008D2558"/>
    <w:rsid w:val="008D27A2"/>
    <w:rsid w:val="008D28E1"/>
    <w:rsid w:val="008D2A02"/>
    <w:rsid w:val="008D30AF"/>
    <w:rsid w:val="008D33EE"/>
    <w:rsid w:val="008D375E"/>
    <w:rsid w:val="008D3E1F"/>
    <w:rsid w:val="008D400A"/>
    <w:rsid w:val="008D41B0"/>
    <w:rsid w:val="008D41EF"/>
    <w:rsid w:val="008D4864"/>
    <w:rsid w:val="008D4A76"/>
    <w:rsid w:val="008D506B"/>
    <w:rsid w:val="008D50A5"/>
    <w:rsid w:val="008D559D"/>
    <w:rsid w:val="008D61CF"/>
    <w:rsid w:val="008D62BC"/>
    <w:rsid w:val="008D649E"/>
    <w:rsid w:val="008D65A1"/>
    <w:rsid w:val="008D6694"/>
    <w:rsid w:val="008D6B46"/>
    <w:rsid w:val="008D6D7B"/>
    <w:rsid w:val="008D6EB4"/>
    <w:rsid w:val="008D7B69"/>
    <w:rsid w:val="008D7DE0"/>
    <w:rsid w:val="008D7E7D"/>
    <w:rsid w:val="008E08F9"/>
    <w:rsid w:val="008E0969"/>
    <w:rsid w:val="008E0A19"/>
    <w:rsid w:val="008E0B80"/>
    <w:rsid w:val="008E0B8B"/>
    <w:rsid w:val="008E0CF5"/>
    <w:rsid w:val="008E0ED6"/>
    <w:rsid w:val="008E14FA"/>
    <w:rsid w:val="008E1AA9"/>
    <w:rsid w:val="008E2332"/>
    <w:rsid w:val="008E23AD"/>
    <w:rsid w:val="008E2647"/>
    <w:rsid w:val="008E2CAF"/>
    <w:rsid w:val="008E2EC0"/>
    <w:rsid w:val="008E3079"/>
    <w:rsid w:val="008E312A"/>
    <w:rsid w:val="008E334A"/>
    <w:rsid w:val="008E36BC"/>
    <w:rsid w:val="008E3917"/>
    <w:rsid w:val="008E3A02"/>
    <w:rsid w:val="008E3A63"/>
    <w:rsid w:val="008E3B70"/>
    <w:rsid w:val="008E44BA"/>
    <w:rsid w:val="008E4891"/>
    <w:rsid w:val="008E4AAB"/>
    <w:rsid w:val="008E50B5"/>
    <w:rsid w:val="008E52C7"/>
    <w:rsid w:val="008E5409"/>
    <w:rsid w:val="008E54FB"/>
    <w:rsid w:val="008E5B3C"/>
    <w:rsid w:val="008E5B3D"/>
    <w:rsid w:val="008E60AD"/>
    <w:rsid w:val="008E60ED"/>
    <w:rsid w:val="008E6949"/>
    <w:rsid w:val="008E6E37"/>
    <w:rsid w:val="008E6F83"/>
    <w:rsid w:val="008E7118"/>
    <w:rsid w:val="008E7366"/>
    <w:rsid w:val="008E75A2"/>
    <w:rsid w:val="008E765E"/>
    <w:rsid w:val="008E7810"/>
    <w:rsid w:val="008F016D"/>
    <w:rsid w:val="008F01D5"/>
    <w:rsid w:val="008F0725"/>
    <w:rsid w:val="008F07CF"/>
    <w:rsid w:val="008F0B31"/>
    <w:rsid w:val="008F11C1"/>
    <w:rsid w:val="008F137C"/>
    <w:rsid w:val="008F1A93"/>
    <w:rsid w:val="008F1FB4"/>
    <w:rsid w:val="008F2155"/>
    <w:rsid w:val="008F22F6"/>
    <w:rsid w:val="008F25A3"/>
    <w:rsid w:val="008F2CD2"/>
    <w:rsid w:val="008F2E15"/>
    <w:rsid w:val="008F32B7"/>
    <w:rsid w:val="008F32BD"/>
    <w:rsid w:val="008F3827"/>
    <w:rsid w:val="008F3A15"/>
    <w:rsid w:val="008F4236"/>
    <w:rsid w:val="008F4266"/>
    <w:rsid w:val="008F42FF"/>
    <w:rsid w:val="008F533C"/>
    <w:rsid w:val="008F5506"/>
    <w:rsid w:val="008F5AB4"/>
    <w:rsid w:val="008F6EC9"/>
    <w:rsid w:val="008F711E"/>
    <w:rsid w:val="008F7177"/>
    <w:rsid w:val="008F7857"/>
    <w:rsid w:val="00900086"/>
    <w:rsid w:val="0090012F"/>
    <w:rsid w:val="00900225"/>
    <w:rsid w:val="0090057A"/>
    <w:rsid w:val="00900613"/>
    <w:rsid w:val="00900617"/>
    <w:rsid w:val="00900685"/>
    <w:rsid w:val="00900830"/>
    <w:rsid w:val="00900B32"/>
    <w:rsid w:val="0090110E"/>
    <w:rsid w:val="009014BB"/>
    <w:rsid w:val="00901866"/>
    <w:rsid w:val="009018FC"/>
    <w:rsid w:val="00902474"/>
    <w:rsid w:val="00902C62"/>
    <w:rsid w:val="00902C9E"/>
    <w:rsid w:val="00902CC8"/>
    <w:rsid w:val="00902CFD"/>
    <w:rsid w:val="00903069"/>
    <w:rsid w:val="009036BA"/>
    <w:rsid w:val="00903A57"/>
    <w:rsid w:val="00903AC5"/>
    <w:rsid w:val="00903CE4"/>
    <w:rsid w:val="00903D1E"/>
    <w:rsid w:val="00904373"/>
    <w:rsid w:val="009044A7"/>
    <w:rsid w:val="009048EA"/>
    <w:rsid w:val="009049AE"/>
    <w:rsid w:val="00904A9F"/>
    <w:rsid w:val="00904CDE"/>
    <w:rsid w:val="009050C5"/>
    <w:rsid w:val="0090544D"/>
    <w:rsid w:val="009054C1"/>
    <w:rsid w:val="00905836"/>
    <w:rsid w:val="009058BB"/>
    <w:rsid w:val="00905B2F"/>
    <w:rsid w:val="009061DB"/>
    <w:rsid w:val="0090628D"/>
    <w:rsid w:val="0090645B"/>
    <w:rsid w:val="00906612"/>
    <w:rsid w:val="009067FD"/>
    <w:rsid w:val="00906AD6"/>
    <w:rsid w:val="009070CD"/>
    <w:rsid w:val="00907341"/>
    <w:rsid w:val="009074DC"/>
    <w:rsid w:val="00907D31"/>
    <w:rsid w:val="00910053"/>
    <w:rsid w:val="00910067"/>
    <w:rsid w:val="00910163"/>
    <w:rsid w:val="0091076E"/>
    <w:rsid w:val="00910BC7"/>
    <w:rsid w:val="00910CB4"/>
    <w:rsid w:val="009115BF"/>
    <w:rsid w:val="009119E5"/>
    <w:rsid w:val="00911C88"/>
    <w:rsid w:val="0091235F"/>
    <w:rsid w:val="0091255F"/>
    <w:rsid w:val="009125D7"/>
    <w:rsid w:val="00912A8E"/>
    <w:rsid w:val="00913839"/>
    <w:rsid w:val="00914789"/>
    <w:rsid w:val="00914FE7"/>
    <w:rsid w:val="009155D3"/>
    <w:rsid w:val="00915691"/>
    <w:rsid w:val="009159C5"/>
    <w:rsid w:val="00915B0D"/>
    <w:rsid w:val="00915B6D"/>
    <w:rsid w:val="00915CE2"/>
    <w:rsid w:val="00916122"/>
    <w:rsid w:val="00916439"/>
    <w:rsid w:val="0091657A"/>
    <w:rsid w:val="009169BB"/>
    <w:rsid w:val="00917876"/>
    <w:rsid w:val="00917EAE"/>
    <w:rsid w:val="00920600"/>
    <w:rsid w:val="0092066C"/>
    <w:rsid w:val="00920803"/>
    <w:rsid w:val="0092081C"/>
    <w:rsid w:val="00921019"/>
    <w:rsid w:val="00921025"/>
    <w:rsid w:val="009212F9"/>
    <w:rsid w:val="0092163C"/>
    <w:rsid w:val="00921964"/>
    <w:rsid w:val="00921E75"/>
    <w:rsid w:val="00921FD4"/>
    <w:rsid w:val="00922317"/>
    <w:rsid w:val="0092253C"/>
    <w:rsid w:val="009229FB"/>
    <w:rsid w:val="00922A73"/>
    <w:rsid w:val="009230CE"/>
    <w:rsid w:val="00923192"/>
    <w:rsid w:val="00923193"/>
    <w:rsid w:val="009232B7"/>
    <w:rsid w:val="00923519"/>
    <w:rsid w:val="00923568"/>
    <w:rsid w:val="00923850"/>
    <w:rsid w:val="009245D8"/>
    <w:rsid w:val="00924E22"/>
    <w:rsid w:val="00924E79"/>
    <w:rsid w:val="0092541A"/>
    <w:rsid w:val="00925453"/>
    <w:rsid w:val="00925A95"/>
    <w:rsid w:val="00925B09"/>
    <w:rsid w:val="00925BE3"/>
    <w:rsid w:val="00925E0C"/>
    <w:rsid w:val="00925F75"/>
    <w:rsid w:val="00926675"/>
    <w:rsid w:val="009267CB"/>
    <w:rsid w:val="00926BFB"/>
    <w:rsid w:val="00926C9E"/>
    <w:rsid w:val="0092701C"/>
    <w:rsid w:val="009271A7"/>
    <w:rsid w:val="0092722B"/>
    <w:rsid w:val="00927258"/>
    <w:rsid w:val="0092726F"/>
    <w:rsid w:val="009275C4"/>
    <w:rsid w:val="009277AA"/>
    <w:rsid w:val="009279FD"/>
    <w:rsid w:val="00927E3B"/>
    <w:rsid w:val="009301D7"/>
    <w:rsid w:val="00930426"/>
    <w:rsid w:val="00930A26"/>
    <w:rsid w:val="00930B70"/>
    <w:rsid w:val="00930D55"/>
    <w:rsid w:val="00930E1B"/>
    <w:rsid w:val="00930E80"/>
    <w:rsid w:val="009310D3"/>
    <w:rsid w:val="00931AA2"/>
    <w:rsid w:val="00931B02"/>
    <w:rsid w:val="00931B85"/>
    <w:rsid w:val="00931CFD"/>
    <w:rsid w:val="00931D8A"/>
    <w:rsid w:val="0093213B"/>
    <w:rsid w:val="00932379"/>
    <w:rsid w:val="00932400"/>
    <w:rsid w:val="0093282B"/>
    <w:rsid w:val="009328A8"/>
    <w:rsid w:val="009328B7"/>
    <w:rsid w:val="009329DE"/>
    <w:rsid w:val="00932D7A"/>
    <w:rsid w:val="00932EE8"/>
    <w:rsid w:val="00933643"/>
    <w:rsid w:val="00935527"/>
    <w:rsid w:val="00935642"/>
    <w:rsid w:val="009356DA"/>
    <w:rsid w:val="00935E36"/>
    <w:rsid w:val="00935F0A"/>
    <w:rsid w:val="00935FFB"/>
    <w:rsid w:val="00936083"/>
    <w:rsid w:val="00936514"/>
    <w:rsid w:val="00936719"/>
    <w:rsid w:val="00936865"/>
    <w:rsid w:val="00937049"/>
    <w:rsid w:val="009371E1"/>
    <w:rsid w:val="00937322"/>
    <w:rsid w:val="009373AB"/>
    <w:rsid w:val="009377EA"/>
    <w:rsid w:val="0093793B"/>
    <w:rsid w:val="00937C37"/>
    <w:rsid w:val="00937E35"/>
    <w:rsid w:val="0094028D"/>
    <w:rsid w:val="009402EF"/>
    <w:rsid w:val="0094070D"/>
    <w:rsid w:val="0094071A"/>
    <w:rsid w:val="00940C09"/>
    <w:rsid w:val="00940EAE"/>
    <w:rsid w:val="00941026"/>
    <w:rsid w:val="0094145F"/>
    <w:rsid w:val="00941492"/>
    <w:rsid w:val="0094151C"/>
    <w:rsid w:val="0094182F"/>
    <w:rsid w:val="00941B1B"/>
    <w:rsid w:val="00941D1B"/>
    <w:rsid w:val="00941E54"/>
    <w:rsid w:val="0094238D"/>
    <w:rsid w:val="009424F2"/>
    <w:rsid w:val="0094289B"/>
    <w:rsid w:val="00942DE2"/>
    <w:rsid w:val="00942FAD"/>
    <w:rsid w:val="0094317A"/>
    <w:rsid w:val="0094323E"/>
    <w:rsid w:val="0094339F"/>
    <w:rsid w:val="0094377F"/>
    <w:rsid w:val="009438F1"/>
    <w:rsid w:val="00943D38"/>
    <w:rsid w:val="00943F5A"/>
    <w:rsid w:val="00944048"/>
    <w:rsid w:val="0094425A"/>
    <w:rsid w:val="00944302"/>
    <w:rsid w:val="0094438E"/>
    <w:rsid w:val="00944395"/>
    <w:rsid w:val="00944724"/>
    <w:rsid w:val="00944E03"/>
    <w:rsid w:val="00945148"/>
    <w:rsid w:val="00945196"/>
    <w:rsid w:val="0094534F"/>
    <w:rsid w:val="00945533"/>
    <w:rsid w:val="00945714"/>
    <w:rsid w:val="00945A1F"/>
    <w:rsid w:val="00945E6C"/>
    <w:rsid w:val="00946558"/>
    <w:rsid w:val="00946756"/>
    <w:rsid w:val="00946B33"/>
    <w:rsid w:val="00946B34"/>
    <w:rsid w:val="00946E22"/>
    <w:rsid w:val="00946E7B"/>
    <w:rsid w:val="00946FBD"/>
    <w:rsid w:val="009472A5"/>
    <w:rsid w:val="00947349"/>
    <w:rsid w:val="009473DF"/>
    <w:rsid w:val="00947405"/>
    <w:rsid w:val="0094785E"/>
    <w:rsid w:val="00947CC6"/>
    <w:rsid w:val="0094DB88"/>
    <w:rsid w:val="0095004F"/>
    <w:rsid w:val="009501DC"/>
    <w:rsid w:val="009502C1"/>
    <w:rsid w:val="00950462"/>
    <w:rsid w:val="0095048B"/>
    <w:rsid w:val="009509F9"/>
    <w:rsid w:val="00950AB0"/>
    <w:rsid w:val="00950B95"/>
    <w:rsid w:val="00950D06"/>
    <w:rsid w:val="00951582"/>
    <w:rsid w:val="00951915"/>
    <w:rsid w:val="00951E4F"/>
    <w:rsid w:val="0095230F"/>
    <w:rsid w:val="009523BD"/>
    <w:rsid w:val="00952687"/>
    <w:rsid w:val="00952BF6"/>
    <w:rsid w:val="00952DA5"/>
    <w:rsid w:val="00952F22"/>
    <w:rsid w:val="0095304A"/>
    <w:rsid w:val="0095314C"/>
    <w:rsid w:val="0095346B"/>
    <w:rsid w:val="00953858"/>
    <w:rsid w:val="00953BBA"/>
    <w:rsid w:val="00953CAB"/>
    <w:rsid w:val="0095465C"/>
    <w:rsid w:val="009546A9"/>
    <w:rsid w:val="00954E5B"/>
    <w:rsid w:val="00954F61"/>
    <w:rsid w:val="00955939"/>
    <w:rsid w:val="00955BD5"/>
    <w:rsid w:val="00956033"/>
    <w:rsid w:val="0095648A"/>
    <w:rsid w:val="0095649E"/>
    <w:rsid w:val="009565FA"/>
    <w:rsid w:val="00956D1D"/>
    <w:rsid w:val="00956DC3"/>
    <w:rsid w:val="00957213"/>
    <w:rsid w:val="0095780C"/>
    <w:rsid w:val="009578BD"/>
    <w:rsid w:val="0096020C"/>
    <w:rsid w:val="009602D9"/>
    <w:rsid w:val="009604A3"/>
    <w:rsid w:val="009607AB"/>
    <w:rsid w:val="00960E0C"/>
    <w:rsid w:val="00960EC1"/>
    <w:rsid w:val="00960F90"/>
    <w:rsid w:val="0096120D"/>
    <w:rsid w:val="0096136B"/>
    <w:rsid w:val="009613F0"/>
    <w:rsid w:val="00961474"/>
    <w:rsid w:val="00961786"/>
    <w:rsid w:val="00961B64"/>
    <w:rsid w:val="00962021"/>
    <w:rsid w:val="00962568"/>
    <w:rsid w:val="009626B9"/>
    <w:rsid w:val="00962A59"/>
    <w:rsid w:val="00962AE9"/>
    <w:rsid w:val="00962BA8"/>
    <w:rsid w:val="00962DFF"/>
    <w:rsid w:val="009630D3"/>
    <w:rsid w:val="009631FE"/>
    <w:rsid w:val="009636C9"/>
    <w:rsid w:val="009639E6"/>
    <w:rsid w:val="00963CCD"/>
    <w:rsid w:val="00963E07"/>
    <w:rsid w:val="00963F6C"/>
    <w:rsid w:val="00964083"/>
    <w:rsid w:val="00964D0C"/>
    <w:rsid w:val="00964DD4"/>
    <w:rsid w:val="0096501E"/>
    <w:rsid w:val="00965558"/>
    <w:rsid w:val="009655DC"/>
    <w:rsid w:val="00965610"/>
    <w:rsid w:val="00965A4A"/>
    <w:rsid w:val="0096612A"/>
    <w:rsid w:val="00966322"/>
    <w:rsid w:val="009666A1"/>
    <w:rsid w:val="009668DF"/>
    <w:rsid w:val="00966959"/>
    <w:rsid w:val="00966FEF"/>
    <w:rsid w:val="00967C38"/>
    <w:rsid w:val="00967D18"/>
    <w:rsid w:val="00967F30"/>
    <w:rsid w:val="009701D8"/>
    <w:rsid w:val="009703D7"/>
    <w:rsid w:val="00970797"/>
    <w:rsid w:val="0097079F"/>
    <w:rsid w:val="009709FE"/>
    <w:rsid w:val="00970A07"/>
    <w:rsid w:val="00970A91"/>
    <w:rsid w:val="00970F3A"/>
    <w:rsid w:val="009711FB"/>
    <w:rsid w:val="0097133A"/>
    <w:rsid w:val="00971368"/>
    <w:rsid w:val="009714A0"/>
    <w:rsid w:val="00972308"/>
    <w:rsid w:val="0097239A"/>
    <w:rsid w:val="00972665"/>
    <w:rsid w:val="009726C3"/>
    <w:rsid w:val="009726F4"/>
    <w:rsid w:val="009727F0"/>
    <w:rsid w:val="00972BEE"/>
    <w:rsid w:val="00972D8C"/>
    <w:rsid w:val="00973282"/>
    <w:rsid w:val="009734AE"/>
    <w:rsid w:val="0097352C"/>
    <w:rsid w:val="009737C2"/>
    <w:rsid w:val="00973A2C"/>
    <w:rsid w:val="00973B1C"/>
    <w:rsid w:val="00973B49"/>
    <w:rsid w:val="00973C62"/>
    <w:rsid w:val="00973CC6"/>
    <w:rsid w:val="00974623"/>
    <w:rsid w:val="0097476A"/>
    <w:rsid w:val="00974A66"/>
    <w:rsid w:val="00974CF5"/>
    <w:rsid w:val="00974F78"/>
    <w:rsid w:val="0097591A"/>
    <w:rsid w:val="00975997"/>
    <w:rsid w:val="00975B32"/>
    <w:rsid w:val="00975BE6"/>
    <w:rsid w:val="00975CE3"/>
    <w:rsid w:val="00976743"/>
    <w:rsid w:val="00976780"/>
    <w:rsid w:val="00976A21"/>
    <w:rsid w:val="00976BBF"/>
    <w:rsid w:val="00976E7B"/>
    <w:rsid w:val="0097773C"/>
    <w:rsid w:val="00977CCD"/>
    <w:rsid w:val="00977FAE"/>
    <w:rsid w:val="009805FC"/>
    <w:rsid w:val="00980827"/>
    <w:rsid w:val="00980D40"/>
    <w:rsid w:val="00980DA5"/>
    <w:rsid w:val="00981201"/>
    <w:rsid w:val="0098136E"/>
    <w:rsid w:val="00981975"/>
    <w:rsid w:val="00981F0C"/>
    <w:rsid w:val="00982210"/>
    <w:rsid w:val="00982266"/>
    <w:rsid w:val="0098281B"/>
    <w:rsid w:val="00982CCF"/>
    <w:rsid w:val="0098312A"/>
    <w:rsid w:val="00983141"/>
    <w:rsid w:val="00983903"/>
    <w:rsid w:val="009839CD"/>
    <w:rsid w:val="00983E25"/>
    <w:rsid w:val="00983EF5"/>
    <w:rsid w:val="00983F65"/>
    <w:rsid w:val="009845D2"/>
    <w:rsid w:val="009846A6"/>
    <w:rsid w:val="00984A49"/>
    <w:rsid w:val="00984AB5"/>
    <w:rsid w:val="0098543F"/>
    <w:rsid w:val="009856C4"/>
    <w:rsid w:val="00985941"/>
    <w:rsid w:val="00985D51"/>
    <w:rsid w:val="00986594"/>
    <w:rsid w:val="0098685E"/>
    <w:rsid w:val="00986D07"/>
    <w:rsid w:val="009874B4"/>
    <w:rsid w:val="0098752E"/>
    <w:rsid w:val="0099007D"/>
    <w:rsid w:val="009910CA"/>
    <w:rsid w:val="0099124E"/>
    <w:rsid w:val="00991298"/>
    <w:rsid w:val="009914C6"/>
    <w:rsid w:val="009914F7"/>
    <w:rsid w:val="009916D9"/>
    <w:rsid w:val="00991780"/>
    <w:rsid w:val="00991D04"/>
    <w:rsid w:val="009920F2"/>
    <w:rsid w:val="00992111"/>
    <w:rsid w:val="00992C04"/>
    <w:rsid w:val="00992CD0"/>
    <w:rsid w:val="009930C8"/>
    <w:rsid w:val="00993B8E"/>
    <w:rsid w:val="0099472F"/>
    <w:rsid w:val="009947E6"/>
    <w:rsid w:val="00994AA2"/>
    <w:rsid w:val="00994D39"/>
    <w:rsid w:val="00994D8F"/>
    <w:rsid w:val="00994FC9"/>
    <w:rsid w:val="009952B7"/>
    <w:rsid w:val="009952DB"/>
    <w:rsid w:val="009952EE"/>
    <w:rsid w:val="00995462"/>
    <w:rsid w:val="00995A40"/>
    <w:rsid w:val="00995E55"/>
    <w:rsid w:val="00995FA7"/>
    <w:rsid w:val="0099604A"/>
    <w:rsid w:val="00996170"/>
    <w:rsid w:val="00996313"/>
    <w:rsid w:val="009963EF"/>
    <w:rsid w:val="009966F0"/>
    <w:rsid w:val="009968EB"/>
    <w:rsid w:val="0099692D"/>
    <w:rsid w:val="00996EE1"/>
    <w:rsid w:val="00997265"/>
    <w:rsid w:val="00997711"/>
    <w:rsid w:val="00997AD4"/>
    <w:rsid w:val="00997E42"/>
    <w:rsid w:val="009A07B4"/>
    <w:rsid w:val="009A089E"/>
    <w:rsid w:val="009A0E95"/>
    <w:rsid w:val="009A1082"/>
    <w:rsid w:val="009A1626"/>
    <w:rsid w:val="009A1BFE"/>
    <w:rsid w:val="009A1C0D"/>
    <w:rsid w:val="009A1EBD"/>
    <w:rsid w:val="009A248F"/>
    <w:rsid w:val="009A253D"/>
    <w:rsid w:val="009A2CD8"/>
    <w:rsid w:val="009A3301"/>
    <w:rsid w:val="009A358B"/>
    <w:rsid w:val="009A36B5"/>
    <w:rsid w:val="009A3719"/>
    <w:rsid w:val="009A3720"/>
    <w:rsid w:val="009A3B36"/>
    <w:rsid w:val="009A3C1A"/>
    <w:rsid w:val="009A3CB3"/>
    <w:rsid w:val="009A3CDC"/>
    <w:rsid w:val="009A3E42"/>
    <w:rsid w:val="009A40D7"/>
    <w:rsid w:val="009A433F"/>
    <w:rsid w:val="009A4391"/>
    <w:rsid w:val="009A4591"/>
    <w:rsid w:val="009A48F6"/>
    <w:rsid w:val="009A4901"/>
    <w:rsid w:val="009A4994"/>
    <w:rsid w:val="009A49B0"/>
    <w:rsid w:val="009A532D"/>
    <w:rsid w:val="009A5634"/>
    <w:rsid w:val="009A5A0B"/>
    <w:rsid w:val="009A5A42"/>
    <w:rsid w:val="009A5B7B"/>
    <w:rsid w:val="009A6076"/>
    <w:rsid w:val="009A60CB"/>
    <w:rsid w:val="009A63FE"/>
    <w:rsid w:val="009A6805"/>
    <w:rsid w:val="009A6C7A"/>
    <w:rsid w:val="009A742E"/>
    <w:rsid w:val="009A7B60"/>
    <w:rsid w:val="009A7C50"/>
    <w:rsid w:val="009A7DB3"/>
    <w:rsid w:val="009A7EBD"/>
    <w:rsid w:val="009A7F1B"/>
    <w:rsid w:val="009B038A"/>
    <w:rsid w:val="009B0578"/>
    <w:rsid w:val="009B057B"/>
    <w:rsid w:val="009B057D"/>
    <w:rsid w:val="009B0CDF"/>
    <w:rsid w:val="009B1D62"/>
    <w:rsid w:val="009B1EA5"/>
    <w:rsid w:val="009B1F32"/>
    <w:rsid w:val="009B2209"/>
    <w:rsid w:val="009B2394"/>
    <w:rsid w:val="009B2715"/>
    <w:rsid w:val="009B2E96"/>
    <w:rsid w:val="009B3515"/>
    <w:rsid w:val="009B351D"/>
    <w:rsid w:val="009B35A3"/>
    <w:rsid w:val="009B3901"/>
    <w:rsid w:val="009B3C46"/>
    <w:rsid w:val="009B3C76"/>
    <w:rsid w:val="009B3E30"/>
    <w:rsid w:val="009B3F4F"/>
    <w:rsid w:val="009B4183"/>
    <w:rsid w:val="009B41FF"/>
    <w:rsid w:val="009B47C9"/>
    <w:rsid w:val="009B48E2"/>
    <w:rsid w:val="009B4955"/>
    <w:rsid w:val="009B4A54"/>
    <w:rsid w:val="009B4A6C"/>
    <w:rsid w:val="009B4D64"/>
    <w:rsid w:val="009B4DDB"/>
    <w:rsid w:val="009B4FA5"/>
    <w:rsid w:val="009B4FD2"/>
    <w:rsid w:val="009B569E"/>
    <w:rsid w:val="009B5CF0"/>
    <w:rsid w:val="009B5DD5"/>
    <w:rsid w:val="009B604C"/>
    <w:rsid w:val="009B642C"/>
    <w:rsid w:val="009B64FF"/>
    <w:rsid w:val="009B6842"/>
    <w:rsid w:val="009B6990"/>
    <w:rsid w:val="009B6A3C"/>
    <w:rsid w:val="009B6E16"/>
    <w:rsid w:val="009B716D"/>
    <w:rsid w:val="009B7177"/>
    <w:rsid w:val="009B7319"/>
    <w:rsid w:val="009B7BDB"/>
    <w:rsid w:val="009C0412"/>
    <w:rsid w:val="009C0E4B"/>
    <w:rsid w:val="009C12FF"/>
    <w:rsid w:val="009C1CB6"/>
    <w:rsid w:val="009C1E24"/>
    <w:rsid w:val="009C2295"/>
    <w:rsid w:val="009C269A"/>
    <w:rsid w:val="009C2C97"/>
    <w:rsid w:val="009C30D9"/>
    <w:rsid w:val="009C336F"/>
    <w:rsid w:val="009C34AC"/>
    <w:rsid w:val="009C3628"/>
    <w:rsid w:val="009C3FD9"/>
    <w:rsid w:val="009C4776"/>
    <w:rsid w:val="009C47D0"/>
    <w:rsid w:val="009C496F"/>
    <w:rsid w:val="009C497A"/>
    <w:rsid w:val="009C4CE0"/>
    <w:rsid w:val="009C500B"/>
    <w:rsid w:val="009C6737"/>
    <w:rsid w:val="009C6DCE"/>
    <w:rsid w:val="009C71B2"/>
    <w:rsid w:val="009C78F7"/>
    <w:rsid w:val="009D017F"/>
    <w:rsid w:val="009D087E"/>
    <w:rsid w:val="009D0C8E"/>
    <w:rsid w:val="009D0D84"/>
    <w:rsid w:val="009D0DC5"/>
    <w:rsid w:val="009D12FB"/>
    <w:rsid w:val="009D1350"/>
    <w:rsid w:val="009D16C7"/>
    <w:rsid w:val="009D1927"/>
    <w:rsid w:val="009D1A96"/>
    <w:rsid w:val="009D1B4A"/>
    <w:rsid w:val="009D295E"/>
    <w:rsid w:val="009D2FA1"/>
    <w:rsid w:val="009D323F"/>
    <w:rsid w:val="009D3D07"/>
    <w:rsid w:val="009D4BEF"/>
    <w:rsid w:val="009D5B57"/>
    <w:rsid w:val="009D614F"/>
    <w:rsid w:val="009D62A4"/>
    <w:rsid w:val="009D67BC"/>
    <w:rsid w:val="009D6A4E"/>
    <w:rsid w:val="009D6DED"/>
    <w:rsid w:val="009D6F54"/>
    <w:rsid w:val="009D7629"/>
    <w:rsid w:val="009D78C3"/>
    <w:rsid w:val="009D7D8A"/>
    <w:rsid w:val="009D7FE0"/>
    <w:rsid w:val="009E053E"/>
    <w:rsid w:val="009E0602"/>
    <w:rsid w:val="009E0938"/>
    <w:rsid w:val="009E0DD4"/>
    <w:rsid w:val="009E0FEE"/>
    <w:rsid w:val="009E10A8"/>
    <w:rsid w:val="009E1EE6"/>
    <w:rsid w:val="009E21AB"/>
    <w:rsid w:val="009E2A10"/>
    <w:rsid w:val="009E2AE9"/>
    <w:rsid w:val="009E2D22"/>
    <w:rsid w:val="009E2EB4"/>
    <w:rsid w:val="009E312E"/>
    <w:rsid w:val="009E3564"/>
    <w:rsid w:val="009E386F"/>
    <w:rsid w:val="009E3AE5"/>
    <w:rsid w:val="009E3DF4"/>
    <w:rsid w:val="009E4257"/>
    <w:rsid w:val="009E4A38"/>
    <w:rsid w:val="009E4A50"/>
    <w:rsid w:val="009E4BBC"/>
    <w:rsid w:val="009E4C92"/>
    <w:rsid w:val="009E4E15"/>
    <w:rsid w:val="009E551D"/>
    <w:rsid w:val="009E5876"/>
    <w:rsid w:val="009E5981"/>
    <w:rsid w:val="009E607E"/>
    <w:rsid w:val="009E638E"/>
    <w:rsid w:val="009E67D4"/>
    <w:rsid w:val="009E68F1"/>
    <w:rsid w:val="009E762B"/>
    <w:rsid w:val="009E7EBD"/>
    <w:rsid w:val="009F0048"/>
    <w:rsid w:val="009F0541"/>
    <w:rsid w:val="009F05A6"/>
    <w:rsid w:val="009F0971"/>
    <w:rsid w:val="009F0A56"/>
    <w:rsid w:val="009F0C99"/>
    <w:rsid w:val="009F1435"/>
    <w:rsid w:val="009F14A8"/>
    <w:rsid w:val="009F15D7"/>
    <w:rsid w:val="009F17AA"/>
    <w:rsid w:val="009F17D1"/>
    <w:rsid w:val="009F1848"/>
    <w:rsid w:val="009F198B"/>
    <w:rsid w:val="009F1BEE"/>
    <w:rsid w:val="009F1D3B"/>
    <w:rsid w:val="009F1F7A"/>
    <w:rsid w:val="009F2AEE"/>
    <w:rsid w:val="009F2D59"/>
    <w:rsid w:val="009F3141"/>
    <w:rsid w:val="009F34CE"/>
    <w:rsid w:val="009F3655"/>
    <w:rsid w:val="009F3706"/>
    <w:rsid w:val="009F3C08"/>
    <w:rsid w:val="009F3D30"/>
    <w:rsid w:val="009F411B"/>
    <w:rsid w:val="009F460A"/>
    <w:rsid w:val="009F4BBD"/>
    <w:rsid w:val="009F5F8B"/>
    <w:rsid w:val="009F61ED"/>
    <w:rsid w:val="009F620F"/>
    <w:rsid w:val="009F65E1"/>
    <w:rsid w:val="009F6645"/>
    <w:rsid w:val="009F6705"/>
    <w:rsid w:val="009F697E"/>
    <w:rsid w:val="009F6D96"/>
    <w:rsid w:val="009F6D9A"/>
    <w:rsid w:val="009F6DC6"/>
    <w:rsid w:val="009F77BA"/>
    <w:rsid w:val="009F7BEB"/>
    <w:rsid w:val="009F7C98"/>
    <w:rsid w:val="00A004F3"/>
    <w:rsid w:val="00A00828"/>
    <w:rsid w:val="00A00CD3"/>
    <w:rsid w:val="00A01530"/>
    <w:rsid w:val="00A01A29"/>
    <w:rsid w:val="00A01DAB"/>
    <w:rsid w:val="00A01EB6"/>
    <w:rsid w:val="00A01F85"/>
    <w:rsid w:val="00A0236E"/>
    <w:rsid w:val="00A02747"/>
    <w:rsid w:val="00A030F8"/>
    <w:rsid w:val="00A030FB"/>
    <w:rsid w:val="00A03486"/>
    <w:rsid w:val="00A0375E"/>
    <w:rsid w:val="00A0436D"/>
    <w:rsid w:val="00A044B3"/>
    <w:rsid w:val="00A046A3"/>
    <w:rsid w:val="00A04C90"/>
    <w:rsid w:val="00A04F27"/>
    <w:rsid w:val="00A0506A"/>
    <w:rsid w:val="00A050A8"/>
    <w:rsid w:val="00A05100"/>
    <w:rsid w:val="00A05B34"/>
    <w:rsid w:val="00A05F1E"/>
    <w:rsid w:val="00A05FFF"/>
    <w:rsid w:val="00A061BF"/>
    <w:rsid w:val="00A06352"/>
    <w:rsid w:val="00A06415"/>
    <w:rsid w:val="00A06579"/>
    <w:rsid w:val="00A06CC1"/>
    <w:rsid w:val="00A0759F"/>
    <w:rsid w:val="00A075C4"/>
    <w:rsid w:val="00A0773C"/>
    <w:rsid w:val="00A077E9"/>
    <w:rsid w:val="00A07C92"/>
    <w:rsid w:val="00A07D3A"/>
    <w:rsid w:val="00A07F20"/>
    <w:rsid w:val="00A10405"/>
    <w:rsid w:val="00A108FB"/>
    <w:rsid w:val="00A10D8F"/>
    <w:rsid w:val="00A10F3D"/>
    <w:rsid w:val="00A1109F"/>
    <w:rsid w:val="00A111AA"/>
    <w:rsid w:val="00A1166E"/>
    <w:rsid w:val="00A117A8"/>
    <w:rsid w:val="00A11880"/>
    <w:rsid w:val="00A11948"/>
    <w:rsid w:val="00A11D6C"/>
    <w:rsid w:val="00A11EA7"/>
    <w:rsid w:val="00A11EAA"/>
    <w:rsid w:val="00A11F3F"/>
    <w:rsid w:val="00A123D7"/>
    <w:rsid w:val="00A12C09"/>
    <w:rsid w:val="00A12F7C"/>
    <w:rsid w:val="00A1334B"/>
    <w:rsid w:val="00A13644"/>
    <w:rsid w:val="00A13BB7"/>
    <w:rsid w:val="00A13CDD"/>
    <w:rsid w:val="00A14070"/>
    <w:rsid w:val="00A1410E"/>
    <w:rsid w:val="00A141E6"/>
    <w:rsid w:val="00A14210"/>
    <w:rsid w:val="00A14278"/>
    <w:rsid w:val="00A144B0"/>
    <w:rsid w:val="00A14B2D"/>
    <w:rsid w:val="00A14CBB"/>
    <w:rsid w:val="00A1526C"/>
    <w:rsid w:val="00A15371"/>
    <w:rsid w:val="00A15F50"/>
    <w:rsid w:val="00A16065"/>
    <w:rsid w:val="00A16252"/>
    <w:rsid w:val="00A16272"/>
    <w:rsid w:val="00A168C6"/>
    <w:rsid w:val="00A16C40"/>
    <w:rsid w:val="00A16F84"/>
    <w:rsid w:val="00A17658"/>
    <w:rsid w:val="00A17C55"/>
    <w:rsid w:val="00A17F3C"/>
    <w:rsid w:val="00A20196"/>
    <w:rsid w:val="00A205DF"/>
    <w:rsid w:val="00A20674"/>
    <w:rsid w:val="00A2081D"/>
    <w:rsid w:val="00A20828"/>
    <w:rsid w:val="00A20C72"/>
    <w:rsid w:val="00A20D95"/>
    <w:rsid w:val="00A20F1F"/>
    <w:rsid w:val="00A210B2"/>
    <w:rsid w:val="00A21285"/>
    <w:rsid w:val="00A21452"/>
    <w:rsid w:val="00A21526"/>
    <w:rsid w:val="00A21DD2"/>
    <w:rsid w:val="00A220D5"/>
    <w:rsid w:val="00A22AF8"/>
    <w:rsid w:val="00A23327"/>
    <w:rsid w:val="00A23A06"/>
    <w:rsid w:val="00A23CC4"/>
    <w:rsid w:val="00A242A0"/>
    <w:rsid w:val="00A242B0"/>
    <w:rsid w:val="00A24A9A"/>
    <w:rsid w:val="00A24ACD"/>
    <w:rsid w:val="00A24B5C"/>
    <w:rsid w:val="00A24DB0"/>
    <w:rsid w:val="00A254C4"/>
    <w:rsid w:val="00A258E1"/>
    <w:rsid w:val="00A25B16"/>
    <w:rsid w:val="00A25B97"/>
    <w:rsid w:val="00A25CF9"/>
    <w:rsid w:val="00A260E9"/>
    <w:rsid w:val="00A269C1"/>
    <w:rsid w:val="00A26E73"/>
    <w:rsid w:val="00A271D3"/>
    <w:rsid w:val="00A2720D"/>
    <w:rsid w:val="00A27AE1"/>
    <w:rsid w:val="00A27BC7"/>
    <w:rsid w:val="00A27E26"/>
    <w:rsid w:val="00A301F0"/>
    <w:rsid w:val="00A302A0"/>
    <w:rsid w:val="00A30669"/>
    <w:rsid w:val="00A307B9"/>
    <w:rsid w:val="00A30A71"/>
    <w:rsid w:val="00A30A73"/>
    <w:rsid w:val="00A3114F"/>
    <w:rsid w:val="00A31184"/>
    <w:rsid w:val="00A31E47"/>
    <w:rsid w:val="00A32069"/>
    <w:rsid w:val="00A32243"/>
    <w:rsid w:val="00A32396"/>
    <w:rsid w:val="00A325F1"/>
    <w:rsid w:val="00A329B4"/>
    <w:rsid w:val="00A32C19"/>
    <w:rsid w:val="00A32C42"/>
    <w:rsid w:val="00A32E58"/>
    <w:rsid w:val="00A32E99"/>
    <w:rsid w:val="00A33027"/>
    <w:rsid w:val="00A3320F"/>
    <w:rsid w:val="00A335D2"/>
    <w:rsid w:val="00A336A8"/>
    <w:rsid w:val="00A33981"/>
    <w:rsid w:val="00A33AAC"/>
    <w:rsid w:val="00A33B6F"/>
    <w:rsid w:val="00A33D61"/>
    <w:rsid w:val="00A33E2B"/>
    <w:rsid w:val="00A34140"/>
    <w:rsid w:val="00A342F9"/>
    <w:rsid w:val="00A3451B"/>
    <w:rsid w:val="00A3471F"/>
    <w:rsid w:val="00A34983"/>
    <w:rsid w:val="00A34C42"/>
    <w:rsid w:val="00A35036"/>
    <w:rsid w:val="00A353E4"/>
    <w:rsid w:val="00A35718"/>
    <w:rsid w:val="00A35765"/>
    <w:rsid w:val="00A35A3F"/>
    <w:rsid w:val="00A35B7D"/>
    <w:rsid w:val="00A35BC7"/>
    <w:rsid w:val="00A35E72"/>
    <w:rsid w:val="00A36072"/>
    <w:rsid w:val="00A3656F"/>
    <w:rsid w:val="00A365A4"/>
    <w:rsid w:val="00A3678F"/>
    <w:rsid w:val="00A367A1"/>
    <w:rsid w:val="00A36AE6"/>
    <w:rsid w:val="00A37672"/>
    <w:rsid w:val="00A378F4"/>
    <w:rsid w:val="00A3793E"/>
    <w:rsid w:val="00A379AE"/>
    <w:rsid w:val="00A40528"/>
    <w:rsid w:val="00A406F0"/>
    <w:rsid w:val="00A41260"/>
    <w:rsid w:val="00A41515"/>
    <w:rsid w:val="00A41A9C"/>
    <w:rsid w:val="00A42194"/>
    <w:rsid w:val="00A422CB"/>
    <w:rsid w:val="00A42523"/>
    <w:rsid w:val="00A42842"/>
    <w:rsid w:val="00A42A44"/>
    <w:rsid w:val="00A42D19"/>
    <w:rsid w:val="00A4389F"/>
    <w:rsid w:val="00A43BAD"/>
    <w:rsid w:val="00A43F8F"/>
    <w:rsid w:val="00A440B3"/>
    <w:rsid w:val="00A442B8"/>
    <w:rsid w:val="00A44848"/>
    <w:rsid w:val="00A44B7D"/>
    <w:rsid w:val="00A4519D"/>
    <w:rsid w:val="00A453D9"/>
    <w:rsid w:val="00A45615"/>
    <w:rsid w:val="00A459ED"/>
    <w:rsid w:val="00A45B17"/>
    <w:rsid w:val="00A46850"/>
    <w:rsid w:val="00A46AD8"/>
    <w:rsid w:val="00A46B7D"/>
    <w:rsid w:val="00A46FA7"/>
    <w:rsid w:val="00A4728C"/>
    <w:rsid w:val="00A47401"/>
    <w:rsid w:val="00A47725"/>
    <w:rsid w:val="00A478E4"/>
    <w:rsid w:val="00A47965"/>
    <w:rsid w:val="00A47A9B"/>
    <w:rsid w:val="00A47C1A"/>
    <w:rsid w:val="00A501FF"/>
    <w:rsid w:val="00A503CD"/>
    <w:rsid w:val="00A5042A"/>
    <w:rsid w:val="00A5071E"/>
    <w:rsid w:val="00A5079C"/>
    <w:rsid w:val="00A50961"/>
    <w:rsid w:val="00A50E0E"/>
    <w:rsid w:val="00A50E49"/>
    <w:rsid w:val="00A50ED0"/>
    <w:rsid w:val="00A51290"/>
    <w:rsid w:val="00A51802"/>
    <w:rsid w:val="00A51853"/>
    <w:rsid w:val="00A51999"/>
    <w:rsid w:val="00A51BD1"/>
    <w:rsid w:val="00A51C43"/>
    <w:rsid w:val="00A51DA4"/>
    <w:rsid w:val="00A5201F"/>
    <w:rsid w:val="00A520E6"/>
    <w:rsid w:val="00A52443"/>
    <w:rsid w:val="00A52749"/>
    <w:rsid w:val="00A52779"/>
    <w:rsid w:val="00A52B5D"/>
    <w:rsid w:val="00A52BF7"/>
    <w:rsid w:val="00A52BFF"/>
    <w:rsid w:val="00A5315C"/>
    <w:rsid w:val="00A533A7"/>
    <w:rsid w:val="00A53615"/>
    <w:rsid w:val="00A537BF"/>
    <w:rsid w:val="00A53B2C"/>
    <w:rsid w:val="00A53B32"/>
    <w:rsid w:val="00A5402E"/>
    <w:rsid w:val="00A542FB"/>
    <w:rsid w:val="00A545BB"/>
    <w:rsid w:val="00A546D7"/>
    <w:rsid w:val="00A54730"/>
    <w:rsid w:val="00A5477E"/>
    <w:rsid w:val="00A5486A"/>
    <w:rsid w:val="00A54D3B"/>
    <w:rsid w:val="00A54E42"/>
    <w:rsid w:val="00A55738"/>
    <w:rsid w:val="00A55B50"/>
    <w:rsid w:val="00A55D69"/>
    <w:rsid w:val="00A55E6F"/>
    <w:rsid w:val="00A55EA6"/>
    <w:rsid w:val="00A55FDD"/>
    <w:rsid w:val="00A562B8"/>
    <w:rsid w:val="00A56551"/>
    <w:rsid w:val="00A56DC2"/>
    <w:rsid w:val="00A56EDE"/>
    <w:rsid w:val="00A57135"/>
    <w:rsid w:val="00A5719B"/>
    <w:rsid w:val="00A57225"/>
    <w:rsid w:val="00A57D14"/>
    <w:rsid w:val="00A57E19"/>
    <w:rsid w:val="00A57F97"/>
    <w:rsid w:val="00A57FA0"/>
    <w:rsid w:val="00A6018A"/>
    <w:rsid w:val="00A603AA"/>
    <w:rsid w:val="00A605C0"/>
    <w:rsid w:val="00A6076B"/>
    <w:rsid w:val="00A6077B"/>
    <w:rsid w:val="00A6077F"/>
    <w:rsid w:val="00A60C62"/>
    <w:rsid w:val="00A614F3"/>
    <w:rsid w:val="00A61625"/>
    <w:rsid w:val="00A616D7"/>
    <w:rsid w:val="00A61BCA"/>
    <w:rsid w:val="00A61C26"/>
    <w:rsid w:val="00A61E19"/>
    <w:rsid w:val="00A61E53"/>
    <w:rsid w:val="00A62769"/>
    <w:rsid w:val="00A62870"/>
    <w:rsid w:val="00A62A04"/>
    <w:rsid w:val="00A62A62"/>
    <w:rsid w:val="00A62C58"/>
    <w:rsid w:val="00A62C71"/>
    <w:rsid w:val="00A62D98"/>
    <w:rsid w:val="00A63040"/>
    <w:rsid w:val="00A63AA5"/>
    <w:rsid w:val="00A63AC8"/>
    <w:rsid w:val="00A63C1F"/>
    <w:rsid w:val="00A63D76"/>
    <w:rsid w:val="00A6485E"/>
    <w:rsid w:val="00A64BD7"/>
    <w:rsid w:val="00A651AD"/>
    <w:rsid w:val="00A6522D"/>
    <w:rsid w:val="00A652AE"/>
    <w:rsid w:val="00A659C5"/>
    <w:rsid w:val="00A65A9E"/>
    <w:rsid w:val="00A663BB"/>
    <w:rsid w:val="00A663C2"/>
    <w:rsid w:val="00A666AB"/>
    <w:rsid w:val="00A667C3"/>
    <w:rsid w:val="00A6685F"/>
    <w:rsid w:val="00A66D1E"/>
    <w:rsid w:val="00A66D70"/>
    <w:rsid w:val="00A66FA2"/>
    <w:rsid w:val="00A674D3"/>
    <w:rsid w:val="00A67A44"/>
    <w:rsid w:val="00A67AB5"/>
    <w:rsid w:val="00A67D6D"/>
    <w:rsid w:val="00A70194"/>
    <w:rsid w:val="00A702EC"/>
    <w:rsid w:val="00A7068F"/>
    <w:rsid w:val="00A70819"/>
    <w:rsid w:val="00A70E7C"/>
    <w:rsid w:val="00A70EA3"/>
    <w:rsid w:val="00A70F67"/>
    <w:rsid w:val="00A71072"/>
    <w:rsid w:val="00A714AA"/>
    <w:rsid w:val="00A715AD"/>
    <w:rsid w:val="00A716BF"/>
    <w:rsid w:val="00A717A3"/>
    <w:rsid w:val="00A71C6A"/>
    <w:rsid w:val="00A71DF5"/>
    <w:rsid w:val="00A724A2"/>
    <w:rsid w:val="00A7252B"/>
    <w:rsid w:val="00A72A37"/>
    <w:rsid w:val="00A72E61"/>
    <w:rsid w:val="00A7340C"/>
    <w:rsid w:val="00A73586"/>
    <w:rsid w:val="00A737E8"/>
    <w:rsid w:val="00A73C8A"/>
    <w:rsid w:val="00A73CAA"/>
    <w:rsid w:val="00A74641"/>
    <w:rsid w:val="00A746C8"/>
    <w:rsid w:val="00A749A6"/>
    <w:rsid w:val="00A74CDF"/>
    <w:rsid w:val="00A74D19"/>
    <w:rsid w:val="00A74FA8"/>
    <w:rsid w:val="00A75152"/>
    <w:rsid w:val="00A754BE"/>
    <w:rsid w:val="00A755C3"/>
    <w:rsid w:val="00A75785"/>
    <w:rsid w:val="00A7593A"/>
    <w:rsid w:val="00A75F60"/>
    <w:rsid w:val="00A76F13"/>
    <w:rsid w:val="00A7713E"/>
    <w:rsid w:val="00A77234"/>
    <w:rsid w:val="00A7732C"/>
    <w:rsid w:val="00A7762C"/>
    <w:rsid w:val="00A801F9"/>
    <w:rsid w:val="00A8043A"/>
    <w:rsid w:val="00A806F5"/>
    <w:rsid w:val="00A80F94"/>
    <w:rsid w:val="00A81508"/>
    <w:rsid w:val="00A81B1D"/>
    <w:rsid w:val="00A8202E"/>
    <w:rsid w:val="00A821DA"/>
    <w:rsid w:val="00A82289"/>
    <w:rsid w:val="00A82491"/>
    <w:rsid w:val="00A82853"/>
    <w:rsid w:val="00A82DB9"/>
    <w:rsid w:val="00A830DE"/>
    <w:rsid w:val="00A8337A"/>
    <w:rsid w:val="00A8369C"/>
    <w:rsid w:val="00A83A67"/>
    <w:rsid w:val="00A83B8E"/>
    <w:rsid w:val="00A84174"/>
    <w:rsid w:val="00A849D5"/>
    <w:rsid w:val="00A84D73"/>
    <w:rsid w:val="00A8507A"/>
    <w:rsid w:val="00A8528D"/>
    <w:rsid w:val="00A8547A"/>
    <w:rsid w:val="00A857F4"/>
    <w:rsid w:val="00A85F54"/>
    <w:rsid w:val="00A85F97"/>
    <w:rsid w:val="00A860BE"/>
    <w:rsid w:val="00A865CA"/>
    <w:rsid w:val="00A865FC"/>
    <w:rsid w:val="00A86C45"/>
    <w:rsid w:val="00A86DC6"/>
    <w:rsid w:val="00A86F2D"/>
    <w:rsid w:val="00A870F7"/>
    <w:rsid w:val="00A87244"/>
    <w:rsid w:val="00A87261"/>
    <w:rsid w:val="00A874FC"/>
    <w:rsid w:val="00A878EE"/>
    <w:rsid w:val="00A87ADE"/>
    <w:rsid w:val="00A87F74"/>
    <w:rsid w:val="00A90341"/>
    <w:rsid w:val="00A90779"/>
    <w:rsid w:val="00A90A46"/>
    <w:rsid w:val="00A90A80"/>
    <w:rsid w:val="00A90A85"/>
    <w:rsid w:val="00A9131F"/>
    <w:rsid w:val="00A91353"/>
    <w:rsid w:val="00A91674"/>
    <w:rsid w:val="00A916F4"/>
    <w:rsid w:val="00A9171C"/>
    <w:rsid w:val="00A91965"/>
    <w:rsid w:val="00A91BA7"/>
    <w:rsid w:val="00A91BEA"/>
    <w:rsid w:val="00A91F9D"/>
    <w:rsid w:val="00A92041"/>
    <w:rsid w:val="00A9257A"/>
    <w:rsid w:val="00A92E5E"/>
    <w:rsid w:val="00A92F04"/>
    <w:rsid w:val="00A9300F"/>
    <w:rsid w:val="00A93410"/>
    <w:rsid w:val="00A9343E"/>
    <w:rsid w:val="00A93A5A"/>
    <w:rsid w:val="00A93BF6"/>
    <w:rsid w:val="00A941DE"/>
    <w:rsid w:val="00A94654"/>
    <w:rsid w:val="00A94768"/>
    <w:rsid w:val="00A94C0F"/>
    <w:rsid w:val="00A94D22"/>
    <w:rsid w:val="00A95122"/>
    <w:rsid w:val="00A953A3"/>
    <w:rsid w:val="00A953AD"/>
    <w:rsid w:val="00A953D0"/>
    <w:rsid w:val="00A9548C"/>
    <w:rsid w:val="00A95566"/>
    <w:rsid w:val="00A956B2"/>
    <w:rsid w:val="00A95E0A"/>
    <w:rsid w:val="00A96197"/>
    <w:rsid w:val="00A96585"/>
    <w:rsid w:val="00A96731"/>
    <w:rsid w:val="00A971F1"/>
    <w:rsid w:val="00A9781E"/>
    <w:rsid w:val="00A97E47"/>
    <w:rsid w:val="00A97E8F"/>
    <w:rsid w:val="00A97F7D"/>
    <w:rsid w:val="00AA0233"/>
    <w:rsid w:val="00AA0A69"/>
    <w:rsid w:val="00AA0BC2"/>
    <w:rsid w:val="00AA0C34"/>
    <w:rsid w:val="00AA1200"/>
    <w:rsid w:val="00AA1AC3"/>
    <w:rsid w:val="00AA1EB7"/>
    <w:rsid w:val="00AA1F27"/>
    <w:rsid w:val="00AA228E"/>
    <w:rsid w:val="00AA233D"/>
    <w:rsid w:val="00AA23F6"/>
    <w:rsid w:val="00AA2925"/>
    <w:rsid w:val="00AA2ABC"/>
    <w:rsid w:val="00AA2CA4"/>
    <w:rsid w:val="00AA2E66"/>
    <w:rsid w:val="00AA322C"/>
    <w:rsid w:val="00AA35FA"/>
    <w:rsid w:val="00AA3B10"/>
    <w:rsid w:val="00AA3CAB"/>
    <w:rsid w:val="00AA4853"/>
    <w:rsid w:val="00AA4B18"/>
    <w:rsid w:val="00AA4E00"/>
    <w:rsid w:val="00AA5261"/>
    <w:rsid w:val="00AA5B6D"/>
    <w:rsid w:val="00AA5BB6"/>
    <w:rsid w:val="00AA5CC5"/>
    <w:rsid w:val="00AA5FE7"/>
    <w:rsid w:val="00AA7455"/>
    <w:rsid w:val="00AA7603"/>
    <w:rsid w:val="00AA7670"/>
    <w:rsid w:val="00AA794C"/>
    <w:rsid w:val="00AB00C3"/>
    <w:rsid w:val="00AB08D8"/>
    <w:rsid w:val="00AB099B"/>
    <w:rsid w:val="00AB0BAD"/>
    <w:rsid w:val="00AB0DA3"/>
    <w:rsid w:val="00AB102D"/>
    <w:rsid w:val="00AB1095"/>
    <w:rsid w:val="00AB18C0"/>
    <w:rsid w:val="00AB18DD"/>
    <w:rsid w:val="00AB1944"/>
    <w:rsid w:val="00AB1CDF"/>
    <w:rsid w:val="00AB2181"/>
    <w:rsid w:val="00AB2A20"/>
    <w:rsid w:val="00AB2E10"/>
    <w:rsid w:val="00AB3084"/>
    <w:rsid w:val="00AB3490"/>
    <w:rsid w:val="00AB39FA"/>
    <w:rsid w:val="00AB3BDF"/>
    <w:rsid w:val="00AB3C28"/>
    <w:rsid w:val="00AB451F"/>
    <w:rsid w:val="00AB4685"/>
    <w:rsid w:val="00AB4D4A"/>
    <w:rsid w:val="00AB4D66"/>
    <w:rsid w:val="00AB52D7"/>
    <w:rsid w:val="00AB564C"/>
    <w:rsid w:val="00AB56EF"/>
    <w:rsid w:val="00AB5A0F"/>
    <w:rsid w:val="00AB5A2A"/>
    <w:rsid w:val="00AB5A41"/>
    <w:rsid w:val="00AB5D08"/>
    <w:rsid w:val="00AB6232"/>
    <w:rsid w:val="00AB637E"/>
    <w:rsid w:val="00AB63EE"/>
    <w:rsid w:val="00AB6B71"/>
    <w:rsid w:val="00AB6CB7"/>
    <w:rsid w:val="00AB7202"/>
    <w:rsid w:val="00AB73B9"/>
    <w:rsid w:val="00AB74D8"/>
    <w:rsid w:val="00AB75D6"/>
    <w:rsid w:val="00AB780D"/>
    <w:rsid w:val="00AB794A"/>
    <w:rsid w:val="00AB7A89"/>
    <w:rsid w:val="00AB7B8A"/>
    <w:rsid w:val="00AB7C22"/>
    <w:rsid w:val="00AC00BF"/>
    <w:rsid w:val="00AC1179"/>
    <w:rsid w:val="00AC1223"/>
    <w:rsid w:val="00AC143B"/>
    <w:rsid w:val="00AC14EF"/>
    <w:rsid w:val="00AC1B49"/>
    <w:rsid w:val="00AC221B"/>
    <w:rsid w:val="00AC2316"/>
    <w:rsid w:val="00AC2489"/>
    <w:rsid w:val="00AC2641"/>
    <w:rsid w:val="00AC2A41"/>
    <w:rsid w:val="00AC2BD2"/>
    <w:rsid w:val="00AC2E0D"/>
    <w:rsid w:val="00AC2F2D"/>
    <w:rsid w:val="00AC388D"/>
    <w:rsid w:val="00AC38D7"/>
    <w:rsid w:val="00AC38E0"/>
    <w:rsid w:val="00AC3C99"/>
    <w:rsid w:val="00AC4201"/>
    <w:rsid w:val="00AC4225"/>
    <w:rsid w:val="00AC4484"/>
    <w:rsid w:val="00AC4515"/>
    <w:rsid w:val="00AC45AD"/>
    <w:rsid w:val="00AC4820"/>
    <w:rsid w:val="00AC48D8"/>
    <w:rsid w:val="00AC494D"/>
    <w:rsid w:val="00AC4C32"/>
    <w:rsid w:val="00AC4E16"/>
    <w:rsid w:val="00AC5554"/>
    <w:rsid w:val="00AC5765"/>
    <w:rsid w:val="00AC5E02"/>
    <w:rsid w:val="00AC5E18"/>
    <w:rsid w:val="00AC6A06"/>
    <w:rsid w:val="00AC6A18"/>
    <w:rsid w:val="00AC6EBB"/>
    <w:rsid w:val="00AC7078"/>
    <w:rsid w:val="00AC71A2"/>
    <w:rsid w:val="00AC7368"/>
    <w:rsid w:val="00AC786A"/>
    <w:rsid w:val="00AC78E2"/>
    <w:rsid w:val="00AC7990"/>
    <w:rsid w:val="00AC7A34"/>
    <w:rsid w:val="00AC7AB9"/>
    <w:rsid w:val="00AC7B7D"/>
    <w:rsid w:val="00AC7EEE"/>
    <w:rsid w:val="00AD01B9"/>
    <w:rsid w:val="00AD01BD"/>
    <w:rsid w:val="00AD0C55"/>
    <w:rsid w:val="00AD0D63"/>
    <w:rsid w:val="00AD1293"/>
    <w:rsid w:val="00AD1434"/>
    <w:rsid w:val="00AD14A4"/>
    <w:rsid w:val="00AD158F"/>
    <w:rsid w:val="00AD1824"/>
    <w:rsid w:val="00AD195F"/>
    <w:rsid w:val="00AD1AE1"/>
    <w:rsid w:val="00AD1AE2"/>
    <w:rsid w:val="00AD1D9C"/>
    <w:rsid w:val="00AD20A1"/>
    <w:rsid w:val="00AD2438"/>
    <w:rsid w:val="00AD2BC0"/>
    <w:rsid w:val="00AD30B9"/>
    <w:rsid w:val="00AD30F9"/>
    <w:rsid w:val="00AD37D5"/>
    <w:rsid w:val="00AD3BC8"/>
    <w:rsid w:val="00AD3D9D"/>
    <w:rsid w:val="00AD3E6F"/>
    <w:rsid w:val="00AD409C"/>
    <w:rsid w:val="00AD4155"/>
    <w:rsid w:val="00AD5C5C"/>
    <w:rsid w:val="00AD6119"/>
    <w:rsid w:val="00AD611C"/>
    <w:rsid w:val="00AD661F"/>
    <w:rsid w:val="00AD66D0"/>
    <w:rsid w:val="00AD6861"/>
    <w:rsid w:val="00AD6D39"/>
    <w:rsid w:val="00AD75E6"/>
    <w:rsid w:val="00AD78EB"/>
    <w:rsid w:val="00AD7E05"/>
    <w:rsid w:val="00AE018C"/>
    <w:rsid w:val="00AE0546"/>
    <w:rsid w:val="00AE0586"/>
    <w:rsid w:val="00AE07BA"/>
    <w:rsid w:val="00AE089A"/>
    <w:rsid w:val="00AE0C75"/>
    <w:rsid w:val="00AE0EA2"/>
    <w:rsid w:val="00AE1464"/>
    <w:rsid w:val="00AE16E7"/>
    <w:rsid w:val="00AE1F0F"/>
    <w:rsid w:val="00AE2024"/>
    <w:rsid w:val="00AE20BE"/>
    <w:rsid w:val="00AE228F"/>
    <w:rsid w:val="00AE2931"/>
    <w:rsid w:val="00AE2BA6"/>
    <w:rsid w:val="00AE2BC1"/>
    <w:rsid w:val="00AE2F19"/>
    <w:rsid w:val="00AE3051"/>
    <w:rsid w:val="00AE30B3"/>
    <w:rsid w:val="00AE316A"/>
    <w:rsid w:val="00AE33AF"/>
    <w:rsid w:val="00AE34B1"/>
    <w:rsid w:val="00AE36E9"/>
    <w:rsid w:val="00AE4058"/>
    <w:rsid w:val="00AE47AF"/>
    <w:rsid w:val="00AE49AA"/>
    <w:rsid w:val="00AE4E44"/>
    <w:rsid w:val="00AE5169"/>
    <w:rsid w:val="00AE52CF"/>
    <w:rsid w:val="00AE5BFB"/>
    <w:rsid w:val="00AE61D2"/>
    <w:rsid w:val="00AE6216"/>
    <w:rsid w:val="00AE6306"/>
    <w:rsid w:val="00AE6F03"/>
    <w:rsid w:val="00AE7334"/>
    <w:rsid w:val="00AE776D"/>
    <w:rsid w:val="00AE7966"/>
    <w:rsid w:val="00AF0266"/>
    <w:rsid w:val="00AF0722"/>
    <w:rsid w:val="00AF07D3"/>
    <w:rsid w:val="00AF0AD6"/>
    <w:rsid w:val="00AF0BB9"/>
    <w:rsid w:val="00AF0F3F"/>
    <w:rsid w:val="00AF131C"/>
    <w:rsid w:val="00AF173F"/>
    <w:rsid w:val="00AF1802"/>
    <w:rsid w:val="00AF1964"/>
    <w:rsid w:val="00AF1A52"/>
    <w:rsid w:val="00AF244E"/>
    <w:rsid w:val="00AF2660"/>
    <w:rsid w:val="00AF27BA"/>
    <w:rsid w:val="00AF285C"/>
    <w:rsid w:val="00AF285E"/>
    <w:rsid w:val="00AF2AC8"/>
    <w:rsid w:val="00AF2C17"/>
    <w:rsid w:val="00AF2CE9"/>
    <w:rsid w:val="00AF2CEB"/>
    <w:rsid w:val="00AF3262"/>
    <w:rsid w:val="00AF3AF6"/>
    <w:rsid w:val="00AF3D69"/>
    <w:rsid w:val="00AF4256"/>
    <w:rsid w:val="00AF43DD"/>
    <w:rsid w:val="00AF46BA"/>
    <w:rsid w:val="00AF4E36"/>
    <w:rsid w:val="00AF5742"/>
    <w:rsid w:val="00AF5C0D"/>
    <w:rsid w:val="00AF5D84"/>
    <w:rsid w:val="00AF5EA4"/>
    <w:rsid w:val="00AF61A6"/>
    <w:rsid w:val="00AF61D8"/>
    <w:rsid w:val="00AF648F"/>
    <w:rsid w:val="00AF65DA"/>
    <w:rsid w:val="00AF6E21"/>
    <w:rsid w:val="00AF74AB"/>
    <w:rsid w:val="00AF7A45"/>
    <w:rsid w:val="00AF7BF1"/>
    <w:rsid w:val="00AF7C2D"/>
    <w:rsid w:val="00B0052A"/>
    <w:rsid w:val="00B01003"/>
    <w:rsid w:val="00B01031"/>
    <w:rsid w:val="00B01138"/>
    <w:rsid w:val="00B0119F"/>
    <w:rsid w:val="00B013B9"/>
    <w:rsid w:val="00B013FE"/>
    <w:rsid w:val="00B01456"/>
    <w:rsid w:val="00B015BE"/>
    <w:rsid w:val="00B015E6"/>
    <w:rsid w:val="00B01746"/>
    <w:rsid w:val="00B017EE"/>
    <w:rsid w:val="00B01B8F"/>
    <w:rsid w:val="00B01C48"/>
    <w:rsid w:val="00B01C87"/>
    <w:rsid w:val="00B01D0F"/>
    <w:rsid w:val="00B01EB5"/>
    <w:rsid w:val="00B02013"/>
    <w:rsid w:val="00B0228B"/>
    <w:rsid w:val="00B026A7"/>
    <w:rsid w:val="00B0275C"/>
    <w:rsid w:val="00B02894"/>
    <w:rsid w:val="00B0299A"/>
    <w:rsid w:val="00B02DB0"/>
    <w:rsid w:val="00B0318E"/>
    <w:rsid w:val="00B033BC"/>
    <w:rsid w:val="00B03633"/>
    <w:rsid w:val="00B03967"/>
    <w:rsid w:val="00B03A55"/>
    <w:rsid w:val="00B03B3E"/>
    <w:rsid w:val="00B03CC8"/>
    <w:rsid w:val="00B03E74"/>
    <w:rsid w:val="00B03E75"/>
    <w:rsid w:val="00B0423A"/>
    <w:rsid w:val="00B04265"/>
    <w:rsid w:val="00B042E4"/>
    <w:rsid w:val="00B0464B"/>
    <w:rsid w:val="00B04847"/>
    <w:rsid w:val="00B0531D"/>
    <w:rsid w:val="00B05467"/>
    <w:rsid w:val="00B05B34"/>
    <w:rsid w:val="00B05CC0"/>
    <w:rsid w:val="00B05F97"/>
    <w:rsid w:val="00B065DD"/>
    <w:rsid w:val="00B06674"/>
    <w:rsid w:val="00B067F1"/>
    <w:rsid w:val="00B068FC"/>
    <w:rsid w:val="00B0713C"/>
    <w:rsid w:val="00B071E0"/>
    <w:rsid w:val="00B075D7"/>
    <w:rsid w:val="00B07BEE"/>
    <w:rsid w:val="00B108D1"/>
    <w:rsid w:val="00B116D7"/>
    <w:rsid w:val="00B118E7"/>
    <w:rsid w:val="00B119A8"/>
    <w:rsid w:val="00B119E9"/>
    <w:rsid w:val="00B11E56"/>
    <w:rsid w:val="00B12112"/>
    <w:rsid w:val="00B12527"/>
    <w:rsid w:val="00B129CA"/>
    <w:rsid w:val="00B12B39"/>
    <w:rsid w:val="00B12D68"/>
    <w:rsid w:val="00B12DDE"/>
    <w:rsid w:val="00B1337D"/>
    <w:rsid w:val="00B13665"/>
    <w:rsid w:val="00B13CB4"/>
    <w:rsid w:val="00B14429"/>
    <w:rsid w:val="00B14459"/>
    <w:rsid w:val="00B14494"/>
    <w:rsid w:val="00B148C9"/>
    <w:rsid w:val="00B14E0C"/>
    <w:rsid w:val="00B15235"/>
    <w:rsid w:val="00B1562C"/>
    <w:rsid w:val="00B1564E"/>
    <w:rsid w:val="00B15717"/>
    <w:rsid w:val="00B1577C"/>
    <w:rsid w:val="00B15990"/>
    <w:rsid w:val="00B15AD0"/>
    <w:rsid w:val="00B15D43"/>
    <w:rsid w:val="00B15FC0"/>
    <w:rsid w:val="00B16301"/>
    <w:rsid w:val="00B1686E"/>
    <w:rsid w:val="00B16944"/>
    <w:rsid w:val="00B1695F"/>
    <w:rsid w:val="00B16B70"/>
    <w:rsid w:val="00B16CF8"/>
    <w:rsid w:val="00B16FCD"/>
    <w:rsid w:val="00B17C6E"/>
    <w:rsid w:val="00B17C73"/>
    <w:rsid w:val="00B2007D"/>
    <w:rsid w:val="00B20A76"/>
    <w:rsid w:val="00B20BE9"/>
    <w:rsid w:val="00B20D65"/>
    <w:rsid w:val="00B21280"/>
    <w:rsid w:val="00B21728"/>
    <w:rsid w:val="00B2193E"/>
    <w:rsid w:val="00B219C1"/>
    <w:rsid w:val="00B219D6"/>
    <w:rsid w:val="00B21A7E"/>
    <w:rsid w:val="00B21D80"/>
    <w:rsid w:val="00B21E6E"/>
    <w:rsid w:val="00B21FB2"/>
    <w:rsid w:val="00B22253"/>
    <w:rsid w:val="00B22993"/>
    <w:rsid w:val="00B22B30"/>
    <w:rsid w:val="00B235B4"/>
    <w:rsid w:val="00B236C0"/>
    <w:rsid w:val="00B23F27"/>
    <w:rsid w:val="00B23F7E"/>
    <w:rsid w:val="00B24B9C"/>
    <w:rsid w:val="00B24C25"/>
    <w:rsid w:val="00B24F9B"/>
    <w:rsid w:val="00B24FBC"/>
    <w:rsid w:val="00B25538"/>
    <w:rsid w:val="00B25B58"/>
    <w:rsid w:val="00B265F9"/>
    <w:rsid w:val="00B27310"/>
    <w:rsid w:val="00B27326"/>
    <w:rsid w:val="00B274AB"/>
    <w:rsid w:val="00B276CE"/>
    <w:rsid w:val="00B27931"/>
    <w:rsid w:val="00B27C2D"/>
    <w:rsid w:val="00B27F50"/>
    <w:rsid w:val="00B30434"/>
    <w:rsid w:val="00B30868"/>
    <w:rsid w:val="00B30C07"/>
    <w:rsid w:val="00B31081"/>
    <w:rsid w:val="00B319D3"/>
    <w:rsid w:val="00B320E1"/>
    <w:rsid w:val="00B321C4"/>
    <w:rsid w:val="00B3291B"/>
    <w:rsid w:val="00B333ED"/>
    <w:rsid w:val="00B3415F"/>
    <w:rsid w:val="00B34581"/>
    <w:rsid w:val="00B3473F"/>
    <w:rsid w:val="00B349D6"/>
    <w:rsid w:val="00B34A93"/>
    <w:rsid w:val="00B34E54"/>
    <w:rsid w:val="00B353EF"/>
    <w:rsid w:val="00B35699"/>
    <w:rsid w:val="00B357BD"/>
    <w:rsid w:val="00B35EEB"/>
    <w:rsid w:val="00B36604"/>
    <w:rsid w:val="00B36618"/>
    <w:rsid w:val="00B36635"/>
    <w:rsid w:val="00B36F94"/>
    <w:rsid w:val="00B371E7"/>
    <w:rsid w:val="00B372FC"/>
    <w:rsid w:val="00B37446"/>
    <w:rsid w:val="00B374F4"/>
    <w:rsid w:val="00B37558"/>
    <w:rsid w:val="00B375AD"/>
    <w:rsid w:val="00B37CAE"/>
    <w:rsid w:val="00B40054"/>
    <w:rsid w:val="00B40119"/>
    <w:rsid w:val="00B40541"/>
    <w:rsid w:val="00B40BFC"/>
    <w:rsid w:val="00B40D72"/>
    <w:rsid w:val="00B40ED4"/>
    <w:rsid w:val="00B40FAE"/>
    <w:rsid w:val="00B410EA"/>
    <w:rsid w:val="00B4142F"/>
    <w:rsid w:val="00B414D0"/>
    <w:rsid w:val="00B4154D"/>
    <w:rsid w:val="00B41D80"/>
    <w:rsid w:val="00B41DAD"/>
    <w:rsid w:val="00B41DE2"/>
    <w:rsid w:val="00B41F4A"/>
    <w:rsid w:val="00B4202D"/>
    <w:rsid w:val="00B42208"/>
    <w:rsid w:val="00B422AA"/>
    <w:rsid w:val="00B426ED"/>
    <w:rsid w:val="00B427BE"/>
    <w:rsid w:val="00B42992"/>
    <w:rsid w:val="00B42B7A"/>
    <w:rsid w:val="00B42E9D"/>
    <w:rsid w:val="00B430EF"/>
    <w:rsid w:val="00B434FE"/>
    <w:rsid w:val="00B4392F"/>
    <w:rsid w:val="00B43A20"/>
    <w:rsid w:val="00B43DE2"/>
    <w:rsid w:val="00B43E62"/>
    <w:rsid w:val="00B442E3"/>
    <w:rsid w:val="00B44F75"/>
    <w:rsid w:val="00B44FC8"/>
    <w:rsid w:val="00B45148"/>
    <w:rsid w:val="00B45C2D"/>
    <w:rsid w:val="00B45CC8"/>
    <w:rsid w:val="00B461CA"/>
    <w:rsid w:val="00B46500"/>
    <w:rsid w:val="00B46A58"/>
    <w:rsid w:val="00B46C38"/>
    <w:rsid w:val="00B46DC5"/>
    <w:rsid w:val="00B47667"/>
    <w:rsid w:val="00B47768"/>
    <w:rsid w:val="00B47C17"/>
    <w:rsid w:val="00B47DA8"/>
    <w:rsid w:val="00B47E42"/>
    <w:rsid w:val="00B50249"/>
    <w:rsid w:val="00B50955"/>
    <w:rsid w:val="00B50D5A"/>
    <w:rsid w:val="00B50D70"/>
    <w:rsid w:val="00B5112B"/>
    <w:rsid w:val="00B5125C"/>
    <w:rsid w:val="00B51A2B"/>
    <w:rsid w:val="00B51A8F"/>
    <w:rsid w:val="00B51BB7"/>
    <w:rsid w:val="00B51CFA"/>
    <w:rsid w:val="00B522D4"/>
    <w:rsid w:val="00B53308"/>
    <w:rsid w:val="00B53599"/>
    <w:rsid w:val="00B53B90"/>
    <w:rsid w:val="00B542D0"/>
    <w:rsid w:val="00B5437D"/>
    <w:rsid w:val="00B54547"/>
    <w:rsid w:val="00B545F9"/>
    <w:rsid w:val="00B548DD"/>
    <w:rsid w:val="00B549FC"/>
    <w:rsid w:val="00B5527D"/>
    <w:rsid w:val="00B552F9"/>
    <w:rsid w:val="00B55B11"/>
    <w:rsid w:val="00B55BA1"/>
    <w:rsid w:val="00B55CDB"/>
    <w:rsid w:val="00B56342"/>
    <w:rsid w:val="00B56628"/>
    <w:rsid w:val="00B56AA5"/>
    <w:rsid w:val="00B56CFA"/>
    <w:rsid w:val="00B56D2C"/>
    <w:rsid w:val="00B5791F"/>
    <w:rsid w:val="00B57A64"/>
    <w:rsid w:val="00B57A90"/>
    <w:rsid w:val="00B57E1F"/>
    <w:rsid w:val="00B60032"/>
    <w:rsid w:val="00B6019A"/>
    <w:rsid w:val="00B602D4"/>
    <w:rsid w:val="00B603E8"/>
    <w:rsid w:val="00B60DF8"/>
    <w:rsid w:val="00B60E7D"/>
    <w:rsid w:val="00B61474"/>
    <w:rsid w:val="00B61A4E"/>
    <w:rsid w:val="00B61B61"/>
    <w:rsid w:val="00B61C78"/>
    <w:rsid w:val="00B61E68"/>
    <w:rsid w:val="00B623AF"/>
    <w:rsid w:val="00B62C95"/>
    <w:rsid w:val="00B62EDF"/>
    <w:rsid w:val="00B6323E"/>
    <w:rsid w:val="00B632F0"/>
    <w:rsid w:val="00B6337A"/>
    <w:rsid w:val="00B633C1"/>
    <w:rsid w:val="00B6357F"/>
    <w:rsid w:val="00B63790"/>
    <w:rsid w:val="00B639D3"/>
    <w:rsid w:val="00B6404C"/>
    <w:rsid w:val="00B645AC"/>
    <w:rsid w:val="00B64656"/>
    <w:rsid w:val="00B64AA2"/>
    <w:rsid w:val="00B64AF1"/>
    <w:rsid w:val="00B64C92"/>
    <w:rsid w:val="00B64CC7"/>
    <w:rsid w:val="00B64D87"/>
    <w:rsid w:val="00B65086"/>
    <w:rsid w:val="00B651B2"/>
    <w:rsid w:val="00B65380"/>
    <w:rsid w:val="00B65604"/>
    <w:rsid w:val="00B658DC"/>
    <w:rsid w:val="00B65A99"/>
    <w:rsid w:val="00B660F4"/>
    <w:rsid w:val="00B66777"/>
    <w:rsid w:val="00B66879"/>
    <w:rsid w:val="00B669A9"/>
    <w:rsid w:val="00B66A12"/>
    <w:rsid w:val="00B6721C"/>
    <w:rsid w:val="00B67336"/>
    <w:rsid w:val="00B67758"/>
    <w:rsid w:val="00B6799F"/>
    <w:rsid w:val="00B67C1F"/>
    <w:rsid w:val="00B67EE5"/>
    <w:rsid w:val="00B7012F"/>
    <w:rsid w:val="00B701B7"/>
    <w:rsid w:val="00B7021F"/>
    <w:rsid w:val="00B70756"/>
    <w:rsid w:val="00B70AA8"/>
    <w:rsid w:val="00B70CBA"/>
    <w:rsid w:val="00B713AA"/>
    <w:rsid w:val="00B713AF"/>
    <w:rsid w:val="00B715B1"/>
    <w:rsid w:val="00B71BA1"/>
    <w:rsid w:val="00B71FAA"/>
    <w:rsid w:val="00B72528"/>
    <w:rsid w:val="00B7271D"/>
    <w:rsid w:val="00B72753"/>
    <w:rsid w:val="00B72BD3"/>
    <w:rsid w:val="00B7313D"/>
    <w:rsid w:val="00B73DE0"/>
    <w:rsid w:val="00B7423E"/>
    <w:rsid w:val="00B74801"/>
    <w:rsid w:val="00B74F3E"/>
    <w:rsid w:val="00B7568A"/>
    <w:rsid w:val="00B75A46"/>
    <w:rsid w:val="00B75BBF"/>
    <w:rsid w:val="00B75C28"/>
    <w:rsid w:val="00B763E8"/>
    <w:rsid w:val="00B766B4"/>
    <w:rsid w:val="00B76836"/>
    <w:rsid w:val="00B76A5A"/>
    <w:rsid w:val="00B76E16"/>
    <w:rsid w:val="00B7749A"/>
    <w:rsid w:val="00B77587"/>
    <w:rsid w:val="00B775F4"/>
    <w:rsid w:val="00B7781A"/>
    <w:rsid w:val="00B77B6E"/>
    <w:rsid w:val="00B80033"/>
    <w:rsid w:val="00B8014D"/>
    <w:rsid w:val="00B80330"/>
    <w:rsid w:val="00B80532"/>
    <w:rsid w:val="00B80721"/>
    <w:rsid w:val="00B8097C"/>
    <w:rsid w:val="00B80ACA"/>
    <w:rsid w:val="00B8121A"/>
    <w:rsid w:val="00B817BD"/>
    <w:rsid w:val="00B8195B"/>
    <w:rsid w:val="00B81D23"/>
    <w:rsid w:val="00B81F25"/>
    <w:rsid w:val="00B81FFE"/>
    <w:rsid w:val="00B82218"/>
    <w:rsid w:val="00B8225A"/>
    <w:rsid w:val="00B82285"/>
    <w:rsid w:val="00B8257D"/>
    <w:rsid w:val="00B827FC"/>
    <w:rsid w:val="00B828FB"/>
    <w:rsid w:val="00B82BDC"/>
    <w:rsid w:val="00B82F5B"/>
    <w:rsid w:val="00B83538"/>
    <w:rsid w:val="00B835A8"/>
    <w:rsid w:val="00B83FEF"/>
    <w:rsid w:val="00B84241"/>
    <w:rsid w:val="00B842C3"/>
    <w:rsid w:val="00B846A5"/>
    <w:rsid w:val="00B84B11"/>
    <w:rsid w:val="00B85058"/>
    <w:rsid w:val="00B85188"/>
    <w:rsid w:val="00B852A0"/>
    <w:rsid w:val="00B85301"/>
    <w:rsid w:val="00B853FA"/>
    <w:rsid w:val="00B858A9"/>
    <w:rsid w:val="00B85C44"/>
    <w:rsid w:val="00B85CF3"/>
    <w:rsid w:val="00B85DEF"/>
    <w:rsid w:val="00B85EF0"/>
    <w:rsid w:val="00B85F09"/>
    <w:rsid w:val="00B860AF"/>
    <w:rsid w:val="00B8671E"/>
    <w:rsid w:val="00B86A53"/>
    <w:rsid w:val="00B86C42"/>
    <w:rsid w:val="00B86CCA"/>
    <w:rsid w:val="00B86CF7"/>
    <w:rsid w:val="00B86E03"/>
    <w:rsid w:val="00B871A4"/>
    <w:rsid w:val="00B876BF"/>
    <w:rsid w:val="00B87A4E"/>
    <w:rsid w:val="00B87C46"/>
    <w:rsid w:val="00B87EA8"/>
    <w:rsid w:val="00B87FD2"/>
    <w:rsid w:val="00B9004A"/>
    <w:rsid w:val="00B9027E"/>
    <w:rsid w:val="00B90358"/>
    <w:rsid w:val="00B90484"/>
    <w:rsid w:val="00B908CA"/>
    <w:rsid w:val="00B9095A"/>
    <w:rsid w:val="00B90A87"/>
    <w:rsid w:val="00B90C0E"/>
    <w:rsid w:val="00B90C50"/>
    <w:rsid w:val="00B90C86"/>
    <w:rsid w:val="00B90D37"/>
    <w:rsid w:val="00B9109F"/>
    <w:rsid w:val="00B91539"/>
    <w:rsid w:val="00B91781"/>
    <w:rsid w:val="00B926FE"/>
    <w:rsid w:val="00B9293C"/>
    <w:rsid w:val="00B92B59"/>
    <w:rsid w:val="00B92F9E"/>
    <w:rsid w:val="00B931FA"/>
    <w:rsid w:val="00B9399E"/>
    <w:rsid w:val="00B9438E"/>
    <w:rsid w:val="00B94551"/>
    <w:rsid w:val="00B94A5C"/>
    <w:rsid w:val="00B94B79"/>
    <w:rsid w:val="00B95544"/>
    <w:rsid w:val="00B95683"/>
    <w:rsid w:val="00B95732"/>
    <w:rsid w:val="00B95C06"/>
    <w:rsid w:val="00B95DC8"/>
    <w:rsid w:val="00B960B6"/>
    <w:rsid w:val="00B9625A"/>
    <w:rsid w:val="00B965AA"/>
    <w:rsid w:val="00B96725"/>
    <w:rsid w:val="00B96CF3"/>
    <w:rsid w:val="00B97C85"/>
    <w:rsid w:val="00B97E99"/>
    <w:rsid w:val="00BA0157"/>
    <w:rsid w:val="00BA06CE"/>
    <w:rsid w:val="00BA0858"/>
    <w:rsid w:val="00BA0905"/>
    <w:rsid w:val="00BA0CCD"/>
    <w:rsid w:val="00BA0D8A"/>
    <w:rsid w:val="00BA0E88"/>
    <w:rsid w:val="00BA1648"/>
    <w:rsid w:val="00BA16FE"/>
    <w:rsid w:val="00BA19F8"/>
    <w:rsid w:val="00BA2045"/>
    <w:rsid w:val="00BA2112"/>
    <w:rsid w:val="00BA2556"/>
    <w:rsid w:val="00BA257F"/>
    <w:rsid w:val="00BA26AF"/>
    <w:rsid w:val="00BA2B88"/>
    <w:rsid w:val="00BA302A"/>
    <w:rsid w:val="00BA31B6"/>
    <w:rsid w:val="00BA34C3"/>
    <w:rsid w:val="00BA3781"/>
    <w:rsid w:val="00BA37AF"/>
    <w:rsid w:val="00BA3A2D"/>
    <w:rsid w:val="00BA3A66"/>
    <w:rsid w:val="00BA3BFA"/>
    <w:rsid w:val="00BA444F"/>
    <w:rsid w:val="00BA44F9"/>
    <w:rsid w:val="00BA451A"/>
    <w:rsid w:val="00BA4522"/>
    <w:rsid w:val="00BA54DA"/>
    <w:rsid w:val="00BA5BC1"/>
    <w:rsid w:val="00BA5D90"/>
    <w:rsid w:val="00BA602C"/>
    <w:rsid w:val="00BA6438"/>
    <w:rsid w:val="00BA680A"/>
    <w:rsid w:val="00BA68A0"/>
    <w:rsid w:val="00BA68DA"/>
    <w:rsid w:val="00BA6BF4"/>
    <w:rsid w:val="00BA6C23"/>
    <w:rsid w:val="00BA736F"/>
    <w:rsid w:val="00BA7460"/>
    <w:rsid w:val="00BA74BA"/>
    <w:rsid w:val="00BA7564"/>
    <w:rsid w:val="00BA7574"/>
    <w:rsid w:val="00BA76A6"/>
    <w:rsid w:val="00BA7D31"/>
    <w:rsid w:val="00BB0299"/>
    <w:rsid w:val="00BB05B0"/>
    <w:rsid w:val="00BB0679"/>
    <w:rsid w:val="00BB073F"/>
    <w:rsid w:val="00BB0944"/>
    <w:rsid w:val="00BB09F7"/>
    <w:rsid w:val="00BB0B22"/>
    <w:rsid w:val="00BB0C56"/>
    <w:rsid w:val="00BB144E"/>
    <w:rsid w:val="00BB1897"/>
    <w:rsid w:val="00BB24DC"/>
    <w:rsid w:val="00BB25C9"/>
    <w:rsid w:val="00BB2702"/>
    <w:rsid w:val="00BB32DC"/>
    <w:rsid w:val="00BB3530"/>
    <w:rsid w:val="00BB3686"/>
    <w:rsid w:val="00BB3B84"/>
    <w:rsid w:val="00BB3C2F"/>
    <w:rsid w:val="00BB3D74"/>
    <w:rsid w:val="00BB4317"/>
    <w:rsid w:val="00BB46B4"/>
    <w:rsid w:val="00BB46F2"/>
    <w:rsid w:val="00BB4AC2"/>
    <w:rsid w:val="00BB4AF4"/>
    <w:rsid w:val="00BB5386"/>
    <w:rsid w:val="00BB538A"/>
    <w:rsid w:val="00BB5773"/>
    <w:rsid w:val="00BB5DA0"/>
    <w:rsid w:val="00BB5F12"/>
    <w:rsid w:val="00BB60CE"/>
    <w:rsid w:val="00BB64C8"/>
    <w:rsid w:val="00BB6531"/>
    <w:rsid w:val="00BB6CDF"/>
    <w:rsid w:val="00BB6F4F"/>
    <w:rsid w:val="00BB6FDF"/>
    <w:rsid w:val="00BB734B"/>
    <w:rsid w:val="00BB76D4"/>
    <w:rsid w:val="00BB7B8B"/>
    <w:rsid w:val="00BC0261"/>
    <w:rsid w:val="00BC0623"/>
    <w:rsid w:val="00BC0A51"/>
    <w:rsid w:val="00BC0ACD"/>
    <w:rsid w:val="00BC0C3A"/>
    <w:rsid w:val="00BC1629"/>
    <w:rsid w:val="00BC1B09"/>
    <w:rsid w:val="00BC1C59"/>
    <w:rsid w:val="00BC277C"/>
    <w:rsid w:val="00BC2E9A"/>
    <w:rsid w:val="00BC3372"/>
    <w:rsid w:val="00BC3585"/>
    <w:rsid w:val="00BC378A"/>
    <w:rsid w:val="00BC3800"/>
    <w:rsid w:val="00BC3902"/>
    <w:rsid w:val="00BC3907"/>
    <w:rsid w:val="00BC3964"/>
    <w:rsid w:val="00BC3997"/>
    <w:rsid w:val="00BC4769"/>
    <w:rsid w:val="00BC4AD8"/>
    <w:rsid w:val="00BC4BF4"/>
    <w:rsid w:val="00BC50A8"/>
    <w:rsid w:val="00BC531B"/>
    <w:rsid w:val="00BC5ABC"/>
    <w:rsid w:val="00BC5B7F"/>
    <w:rsid w:val="00BC5FBB"/>
    <w:rsid w:val="00BC5FEB"/>
    <w:rsid w:val="00BC649E"/>
    <w:rsid w:val="00BC696B"/>
    <w:rsid w:val="00BC6A0B"/>
    <w:rsid w:val="00BC7132"/>
    <w:rsid w:val="00BC737F"/>
    <w:rsid w:val="00BC753F"/>
    <w:rsid w:val="00BC758C"/>
    <w:rsid w:val="00BC7614"/>
    <w:rsid w:val="00BC7E09"/>
    <w:rsid w:val="00BD05D9"/>
    <w:rsid w:val="00BD0C98"/>
    <w:rsid w:val="00BD0F5D"/>
    <w:rsid w:val="00BD111D"/>
    <w:rsid w:val="00BD1128"/>
    <w:rsid w:val="00BD1390"/>
    <w:rsid w:val="00BD141D"/>
    <w:rsid w:val="00BD154B"/>
    <w:rsid w:val="00BD1634"/>
    <w:rsid w:val="00BD1870"/>
    <w:rsid w:val="00BD1C14"/>
    <w:rsid w:val="00BD2B47"/>
    <w:rsid w:val="00BD2B4B"/>
    <w:rsid w:val="00BD2BDD"/>
    <w:rsid w:val="00BD2DAD"/>
    <w:rsid w:val="00BD34C2"/>
    <w:rsid w:val="00BD363E"/>
    <w:rsid w:val="00BD3AA7"/>
    <w:rsid w:val="00BD3AE3"/>
    <w:rsid w:val="00BD3F41"/>
    <w:rsid w:val="00BD4240"/>
    <w:rsid w:val="00BD4275"/>
    <w:rsid w:val="00BD43E3"/>
    <w:rsid w:val="00BD499D"/>
    <w:rsid w:val="00BD49CF"/>
    <w:rsid w:val="00BD4F15"/>
    <w:rsid w:val="00BD54F5"/>
    <w:rsid w:val="00BD5505"/>
    <w:rsid w:val="00BD56FD"/>
    <w:rsid w:val="00BD5905"/>
    <w:rsid w:val="00BD5D70"/>
    <w:rsid w:val="00BD663A"/>
    <w:rsid w:val="00BD69DC"/>
    <w:rsid w:val="00BD7413"/>
    <w:rsid w:val="00BD7437"/>
    <w:rsid w:val="00BD761B"/>
    <w:rsid w:val="00BD788D"/>
    <w:rsid w:val="00BD7BAE"/>
    <w:rsid w:val="00BD7D1E"/>
    <w:rsid w:val="00BE01FB"/>
    <w:rsid w:val="00BE0C1E"/>
    <w:rsid w:val="00BE0C3F"/>
    <w:rsid w:val="00BE0D6A"/>
    <w:rsid w:val="00BE0FA5"/>
    <w:rsid w:val="00BE14E8"/>
    <w:rsid w:val="00BE1599"/>
    <w:rsid w:val="00BE1711"/>
    <w:rsid w:val="00BE2115"/>
    <w:rsid w:val="00BE2145"/>
    <w:rsid w:val="00BE26A3"/>
    <w:rsid w:val="00BE2D5E"/>
    <w:rsid w:val="00BE30E0"/>
    <w:rsid w:val="00BE3718"/>
    <w:rsid w:val="00BE3DF6"/>
    <w:rsid w:val="00BE3E9E"/>
    <w:rsid w:val="00BE452C"/>
    <w:rsid w:val="00BE4A21"/>
    <w:rsid w:val="00BE4B61"/>
    <w:rsid w:val="00BE4D9A"/>
    <w:rsid w:val="00BE4EE3"/>
    <w:rsid w:val="00BE5055"/>
    <w:rsid w:val="00BE51A9"/>
    <w:rsid w:val="00BE5286"/>
    <w:rsid w:val="00BE53D9"/>
    <w:rsid w:val="00BE59B3"/>
    <w:rsid w:val="00BE5BD2"/>
    <w:rsid w:val="00BE6037"/>
    <w:rsid w:val="00BE6099"/>
    <w:rsid w:val="00BE610E"/>
    <w:rsid w:val="00BE612A"/>
    <w:rsid w:val="00BE61AD"/>
    <w:rsid w:val="00BE64E4"/>
    <w:rsid w:val="00BE6F31"/>
    <w:rsid w:val="00BE74D9"/>
    <w:rsid w:val="00BE7636"/>
    <w:rsid w:val="00BE76E4"/>
    <w:rsid w:val="00BE794C"/>
    <w:rsid w:val="00BE7A9C"/>
    <w:rsid w:val="00BE7C6E"/>
    <w:rsid w:val="00BE7DE3"/>
    <w:rsid w:val="00BF01C8"/>
    <w:rsid w:val="00BF040B"/>
    <w:rsid w:val="00BF07E2"/>
    <w:rsid w:val="00BF0A95"/>
    <w:rsid w:val="00BF1CBC"/>
    <w:rsid w:val="00BF2092"/>
    <w:rsid w:val="00BF20B7"/>
    <w:rsid w:val="00BF258B"/>
    <w:rsid w:val="00BF25BD"/>
    <w:rsid w:val="00BF25FE"/>
    <w:rsid w:val="00BF2714"/>
    <w:rsid w:val="00BF28F4"/>
    <w:rsid w:val="00BF2AA0"/>
    <w:rsid w:val="00BF34E0"/>
    <w:rsid w:val="00BF39F9"/>
    <w:rsid w:val="00BF3AA0"/>
    <w:rsid w:val="00BF3E09"/>
    <w:rsid w:val="00BF450D"/>
    <w:rsid w:val="00BF4A20"/>
    <w:rsid w:val="00BF4A48"/>
    <w:rsid w:val="00BF4D01"/>
    <w:rsid w:val="00BF4E1F"/>
    <w:rsid w:val="00BF5232"/>
    <w:rsid w:val="00BF571D"/>
    <w:rsid w:val="00BF57B8"/>
    <w:rsid w:val="00BF5965"/>
    <w:rsid w:val="00BF5DB5"/>
    <w:rsid w:val="00BF5EAE"/>
    <w:rsid w:val="00BF6A1D"/>
    <w:rsid w:val="00BF6C37"/>
    <w:rsid w:val="00BF6CA1"/>
    <w:rsid w:val="00BF6DAF"/>
    <w:rsid w:val="00BF6E32"/>
    <w:rsid w:val="00BF7608"/>
    <w:rsid w:val="00BF76EB"/>
    <w:rsid w:val="00C00A1F"/>
    <w:rsid w:val="00C00AD2"/>
    <w:rsid w:val="00C01405"/>
    <w:rsid w:val="00C01F92"/>
    <w:rsid w:val="00C02246"/>
    <w:rsid w:val="00C02C24"/>
    <w:rsid w:val="00C03188"/>
    <w:rsid w:val="00C03486"/>
    <w:rsid w:val="00C03694"/>
    <w:rsid w:val="00C04453"/>
    <w:rsid w:val="00C04ADA"/>
    <w:rsid w:val="00C04AF2"/>
    <w:rsid w:val="00C04BE9"/>
    <w:rsid w:val="00C04C17"/>
    <w:rsid w:val="00C04F49"/>
    <w:rsid w:val="00C051CA"/>
    <w:rsid w:val="00C0575D"/>
    <w:rsid w:val="00C05881"/>
    <w:rsid w:val="00C059EC"/>
    <w:rsid w:val="00C05E90"/>
    <w:rsid w:val="00C06072"/>
    <w:rsid w:val="00C0616C"/>
    <w:rsid w:val="00C0686C"/>
    <w:rsid w:val="00C079DE"/>
    <w:rsid w:val="00C10262"/>
    <w:rsid w:val="00C10B1E"/>
    <w:rsid w:val="00C10C11"/>
    <w:rsid w:val="00C10D21"/>
    <w:rsid w:val="00C10F15"/>
    <w:rsid w:val="00C10F2F"/>
    <w:rsid w:val="00C10F97"/>
    <w:rsid w:val="00C116B1"/>
    <w:rsid w:val="00C117EC"/>
    <w:rsid w:val="00C11A64"/>
    <w:rsid w:val="00C121DC"/>
    <w:rsid w:val="00C122BE"/>
    <w:rsid w:val="00C124EB"/>
    <w:rsid w:val="00C125B8"/>
    <w:rsid w:val="00C125D2"/>
    <w:rsid w:val="00C12973"/>
    <w:rsid w:val="00C12A6C"/>
    <w:rsid w:val="00C12E1B"/>
    <w:rsid w:val="00C12F51"/>
    <w:rsid w:val="00C13035"/>
    <w:rsid w:val="00C13286"/>
    <w:rsid w:val="00C1330E"/>
    <w:rsid w:val="00C133A3"/>
    <w:rsid w:val="00C134AD"/>
    <w:rsid w:val="00C13643"/>
    <w:rsid w:val="00C13B13"/>
    <w:rsid w:val="00C13BC4"/>
    <w:rsid w:val="00C13C07"/>
    <w:rsid w:val="00C13CBC"/>
    <w:rsid w:val="00C1408F"/>
    <w:rsid w:val="00C14472"/>
    <w:rsid w:val="00C14517"/>
    <w:rsid w:val="00C14667"/>
    <w:rsid w:val="00C14920"/>
    <w:rsid w:val="00C14B8F"/>
    <w:rsid w:val="00C14CD7"/>
    <w:rsid w:val="00C1505A"/>
    <w:rsid w:val="00C157AB"/>
    <w:rsid w:val="00C1596E"/>
    <w:rsid w:val="00C15B23"/>
    <w:rsid w:val="00C15E8F"/>
    <w:rsid w:val="00C161F0"/>
    <w:rsid w:val="00C16940"/>
    <w:rsid w:val="00C16CD3"/>
    <w:rsid w:val="00C16F24"/>
    <w:rsid w:val="00C173F6"/>
    <w:rsid w:val="00C173FC"/>
    <w:rsid w:val="00C175F8"/>
    <w:rsid w:val="00C178DB"/>
    <w:rsid w:val="00C17A8D"/>
    <w:rsid w:val="00C17C16"/>
    <w:rsid w:val="00C17CF8"/>
    <w:rsid w:val="00C17E10"/>
    <w:rsid w:val="00C17E65"/>
    <w:rsid w:val="00C17FF0"/>
    <w:rsid w:val="00C2019A"/>
    <w:rsid w:val="00C20431"/>
    <w:rsid w:val="00C205B5"/>
    <w:rsid w:val="00C213D9"/>
    <w:rsid w:val="00C21EE8"/>
    <w:rsid w:val="00C21FC6"/>
    <w:rsid w:val="00C2247E"/>
    <w:rsid w:val="00C225DA"/>
    <w:rsid w:val="00C2289C"/>
    <w:rsid w:val="00C22B96"/>
    <w:rsid w:val="00C22D29"/>
    <w:rsid w:val="00C22DF6"/>
    <w:rsid w:val="00C230AF"/>
    <w:rsid w:val="00C2334F"/>
    <w:rsid w:val="00C2337A"/>
    <w:rsid w:val="00C2341E"/>
    <w:rsid w:val="00C23420"/>
    <w:rsid w:val="00C23779"/>
    <w:rsid w:val="00C2408F"/>
    <w:rsid w:val="00C2410C"/>
    <w:rsid w:val="00C241A9"/>
    <w:rsid w:val="00C24BC1"/>
    <w:rsid w:val="00C24E37"/>
    <w:rsid w:val="00C255F6"/>
    <w:rsid w:val="00C25985"/>
    <w:rsid w:val="00C25A0C"/>
    <w:rsid w:val="00C25BF2"/>
    <w:rsid w:val="00C25E13"/>
    <w:rsid w:val="00C262E2"/>
    <w:rsid w:val="00C2678D"/>
    <w:rsid w:val="00C26FA2"/>
    <w:rsid w:val="00C270D7"/>
    <w:rsid w:val="00C274FA"/>
    <w:rsid w:val="00C27A55"/>
    <w:rsid w:val="00C27B5F"/>
    <w:rsid w:val="00C30204"/>
    <w:rsid w:val="00C30619"/>
    <w:rsid w:val="00C308A0"/>
    <w:rsid w:val="00C308F0"/>
    <w:rsid w:val="00C30909"/>
    <w:rsid w:val="00C309EE"/>
    <w:rsid w:val="00C31196"/>
    <w:rsid w:val="00C3149E"/>
    <w:rsid w:val="00C31EF5"/>
    <w:rsid w:val="00C32598"/>
    <w:rsid w:val="00C326A4"/>
    <w:rsid w:val="00C327A8"/>
    <w:rsid w:val="00C329DC"/>
    <w:rsid w:val="00C32CA6"/>
    <w:rsid w:val="00C33065"/>
    <w:rsid w:val="00C33570"/>
    <w:rsid w:val="00C337E7"/>
    <w:rsid w:val="00C33CFD"/>
    <w:rsid w:val="00C34074"/>
    <w:rsid w:val="00C34199"/>
    <w:rsid w:val="00C3485F"/>
    <w:rsid w:val="00C3497E"/>
    <w:rsid w:val="00C34B4A"/>
    <w:rsid w:val="00C35423"/>
    <w:rsid w:val="00C35789"/>
    <w:rsid w:val="00C357C4"/>
    <w:rsid w:val="00C35D4B"/>
    <w:rsid w:val="00C35E51"/>
    <w:rsid w:val="00C35EB6"/>
    <w:rsid w:val="00C361E6"/>
    <w:rsid w:val="00C3681A"/>
    <w:rsid w:val="00C36864"/>
    <w:rsid w:val="00C36A9C"/>
    <w:rsid w:val="00C370CF"/>
    <w:rsid w:val="00C3786F"/>
    <w:rsid w:val="00C37A1A"/>
    <w:rsid w:val="00C37A55"/>
    <w:rsid w:val="00C37B00"/>
    <w:rsid w:val="00C4037B"/>
    <w:rsid w:val="00C404AD"/>
    <w:rsid w:val="00C40633"/>
    <w:rsid w:val="00C408DE"/>
    <w:rsid w:val="00C40FF2"/>
    <w:rsid w:val="00C41082"/>
    <w:rsid w:val="00C41652"/>
    <w:rsid w:val="00C418D4"/>
    <w:rsid w:val="00C41911"/>
    <w:rsid w:val="00C41961"/>
    <w:rsid w:val="00C41DB8"/>
    <w:rsid w:val="00C41FDE"/>
    <w:rsid w:val="00C420AA"/>
    <w:rsid w:val="00C42619"/>
    <w:rsid w:val="00C42A0A"/>
    <w:rsid w:val="00C437DE"/>
    <w:rsid w:val="00C43822"/>
    <w:rsid w:val="00C43A92"/>
    <w:rsid w:val="00C43E48"/>
    <w:rsid w:val="00C4403D"/>
    <w:rsid w:val="00C440D0"/>
    <w:rsid w:val="00C4438E"/>
    <w:rsid w:val="00C44402"/>
    <w:rsid w:val="00C4461A"/>
    <w:rsid w:val="00C4479F"/>
    <w:rsid w:val="00C44880"/>
    <w:rsid w:val="00C448F2"/>
    <w:rsid w:val="00C44FED"/>
    <w:rsid w:val="00C451AE"/>
    <w:rsid w:val="00C45367"/>
    <w:rsid w:val="00C45F4A"/>
    <w:rsid w:val="00C46000"/>
    <w:rsid w:val="00C4710A"/>
    <w:rsid w:val="00C47570"/>
    <w:rsid w:val="00C47753"/>
    <w:rsid w:val="00C479CE"/>
    <w:rsid w:val="00C47C54"/>
    <w:rsid w:val="00C47CFB"/>
    <w:rsid w:val="00C47DB3"/>
    <w:rsid w:val="00C5012D"/>
    <w:rsid w:val="00C50138"/>
    <w:rsid w:val="00C50313"/>
    <w:rsid w:val="00C50A00"/>
    <w:rsid w:val="00C50A64"/>
    <w:rsid w:val="00C50C74"/>
    <w:rsid w:val="00C51087"/>
    <w:rsid w:val="00C51719"/>
    <w:rsid w:val="00C51DDE"/>
    <w:rsid w:val="00C51EAC"/>
    <w:rsid w:val="00C522B1"/>
    <w:rsid w:val="00C52880"/>
    <w:rsid w:val="00C52B6C"/>
    <w:rsid w:val="00C52DA6"/>
    <w:rsid w:val="00C52F59"/>
    <w:rsid w:val="00C52F79"/>
    <w:rsid w:val="00C5317D"/>
    <w:rsid w:val="00C5382D"/>
    <w:rsid w:val="00C53BB2"/>
    <w:rsid w:val="00C53DD3"/>
    <w:rsid w:val="00C53ED8"/>
    <w:rsid w:val="00C53FA9"/>
    <w:rsid w:val="00C5430D"/>
    <w:rsid w:val="00C545BC"/>
    <w:rsid w:val="00C54901"/>
    <w:rsid w:val="00C54CBB"/>
    <w:rsid w:val="00C54E09"/>
    <w:rsid w:val="00C54F4A"/>
    <w:rsid w:val="00C55078"/>
    <w:rsid w:val="00C55265"/>
    <w:rsid w:val="00C553F2"/>
    <w:rsid w:val="00C554B7"/>
    <w:rsid w:val="00C55AB4"/>
    <w:rsid w:val="00C55C53"/>
    <w:rsid w:val="00C56384"/>
    <w:rsid w:val="00C569F7"/>
    <w:rsid w:val="00C56D51"/>
    <w:rsid w:val="00C57258"/>
    <w:rsid w:val="00C574C1"/>
    <w:rsid w:val="00C575F5"/>
    <w:rsid w:val="00C577FC"/>
    <w:rsid w:val="00C57B51"/>
    <w:rsid w:val="00C57FE9"/>
    <w:rsid w:val="00C60029"/>
    <w:rsid w:val="00C60259"/>
    <w:rsid w:val="00C60AA3"/>
    <w:rsid w:val="00C60FA8"/>
    <w:rsid w:val="00C61921"/>
    <w:rsid w:val="00C6196B"/>
    <w:rsid w:val="00C61C47"/>
    <w:rsid w:val="00C61CDF"/>
    <w:rsid w:val="00C61CE0"/>
    <w:rsid w:val="00C61DA5"/>
    <w:rsid w:val="00C62373"/>
    <w:rsid w:val="00C6240F"/>
    <w:rsid w:val="00C62440"/>
    <w:rsid w:val="00C6252B"/>
    <w:rsid w:val="00C626A8"/>
    <w:rsid w:val="00C62C4C"/>
    <w:rsid w:val="00C62F26"/>
    <w:rsid w:val="00C63198"/>
    <w:rsid w:val="00C6325A"/>
    <w:rsid w:val="00C6386D"/>
    <w:rsid w:val="00C63A5E"/>
    <w:rsid w:val="00C64038"/>
    <w:rsid w:val="00C64394"/>
    <w:rsid w:val="00C644D8"/>
    <w:rsid w:val="00C644EE"/>
    <w:rsid w:val="00C647EA"/>
    <w:rsid w:val="00C64CA1"/>
    <w:rsid w:val="00C64F2F"/>
    <w:rsid w:val="00C653B7"/>
    <w:rsid w:val="00C654D8"/>
    <w:rsid w:val="00C65869"/>
    <w:rsid w:val="00C659FD"/>
    <w:rsid w:val="00C660A7"/>
    <w:rsid w:val="00C6610D"/>
    <w:rsid w:val="00C66205"/>
    <w:rsid w:val="00C6652E"/>
    <w:rsid w:val="00C66535"/>
    <w:rsid w:val="00C66536"/>
    <w:rsid w:val="00C66663"/>
    <w:rsid w:val="00C6669C"/>
    <w:rsid w:val="00C666B7"/>
    <w:rsid w:val="00C668F3"/>
    <w:rsid w:val="00C66AAF"/>
    <w:rsid w:val="00C66F3C"/>
    <w:rsid w:val="00C677E2"/>
    <w:rsid w:val="00C678C3"/>
    <w:rsid w:val="00C67AAB"/>
    <w:rsid w:val="00C701DB"/>
    <w:rsid w:val="00C70726"/>
    <w:rsid w:val="00C7078E"/>
    <w:rsid w:val="00C70B14"/>
    <w:rsid w:val="00C70E62"/>
    <w:rsid w:val="00C71B17"/>
    <w:rsid w:val="00C71B58"/>
    <w:rsid w:val="00C720B0"/>
    <w:rsid w:val="00C720E2"/>
    <w:rsid w:val="00C721A1"/>
    <w:rsid w:val="00C7237E"/>
    <w:rsid w:val="00C725C0"/>
    <w:rsid w:val="00C726E6"/>
    <w:rsid w:val="00C72E4E"/>
    <w:rsid w:val="00C730B6"/>
    <w:rsid w:val="00C7336C"/>
    <w:rsid w:val="00C73613"/>
    <w:rsid w:val="00C73684"/>
    <w:rsid w:val="00C7374B"/>
    <w:rsid w:val="00C73A18"/>
    <w:rsid w:val="00C74305"/>
    <w:rsid w:val="00C7472C"/>
    <w:rsid w:val="00C749AA"/>
    <w:rsid w:val="00C74A9C"/>
    <w:rsid w:val="00C74C0C"/>
    <w:rsid w:val="00C74C3E"/>
    <w:rsid w:val="00C7515A"/>
    <w:rsid w:val="00C75209"/>
    <w:rsid w:val="00C75EBA"/>
    <w:rsid w:val="00C76326"/>
    <w:rsid w:val="00C76659"/>
    <w:rsid w:val="00C76808"/>
    <w:rsid w:val="00C76858"/>
    <w:rsid w:val="00C7698B"/>
    <w:rsid w:val="00C76B46"/>
    <w:rsid w:val="00C76C06"/>
    <w:rsid w:val="00C77340"/>
    <w:rsid w:val="00C77A30"/>
    <w:rsid w:val="00C77B2F"/>
    <w:rsid w:val="00C77FDE"/>
    <w:rsid w:val="00C80123"/>
    <w:rsid w:val="00C803FC"/>
    <w:rsid w:val="00C80521"/>
    <w:rsid w:val="00C80B13"/>
    <w:rsid w:val="00C80C45"/>
    <w:rsid w:val="00C81304"/>
    <w:rsid w:val="00C81635"/>
    <w:rsid w:val="00C8170D"/>
    <w:rsid w:val="00C81800"/>
    <w:rsid w:val="00C8184D"/>
    <w:rsid w:val="00C8188E"/>
    <w:rsid w:val="00C818F7"/>
    <w:rsid w:val="00C81B3A"/>
    <w:rsid w:val="00C81E56"/>
    <w:rsid w:val="00C81EA8"/>
    <w:rsid w:val="00C8287F"/>
    <w:rsid w:val="00C82ACE"/>
    <w:rsid w:val="00C838A4"/>
    <w:rsid w:val="00C83935"/>
    <w:rsid w:val="00C8399E"/>
    <w:rsid w:val="00C83AF7"/>
    <w:rsid w:val="00C83DA4"/>
    <w:rsid w:val="00C83EA1"/>
    <w:rsid w:val="00C840D6"/>
    <w:rsid w:val="00C8439B"/>
    <w:rsid w:val="00C847D7"/>
    <w:rsid w:val="00C84F1C"/>
    <w:rsid w:val="00C84F6D"/>
    <w:rsid w:val="00C851B0"/>
    <w:rsid w:val="00C85366"/>
    <w:rsid w:val="00C85FEF"/>
    <w:rsid w:val="00C86199"/>
    <w:rsid w:val="00C861CC"/>
    <w:rsid w:val="00C8644D"/>
    <w:rsid w:val="00C869AA"/>
    <w:rsid w:val="00C86EA5"/>
    <w:rsid w:val="00C871EF"/>
    <w:rsid w:val="00C8727B"/>
    <w:rsid w:val="00C87568"/>
    <w:rsid w:val="00C879F0"/>
    <w:rsid w:val="00C87A21"/>
    <w:rsid w:val="00C87C5A"/>
    <w:rsid w:val="00C87E97"/>
    <w:rsid w:val="00C87FB3"/>
    <w:rsid w:val="00C909E8"/>
    <w:rsid w:val="00C91129"/>
    <w:rsid w:val="00C91373"/>
    <w:rsid w:val="00C91433"/>
    <w:rsid w:val="00C914CB"/>
    <w:rsid w:val="00C916AF"/>
    <w:rsid w:val="00C91C2E"/>
    <w:rsid w:val="00C925C1"/>
    <w:rsid w:val="00C92C83"/>
    <w:rsid w:val="00C92D37"/>
    <w:rsid w:val="00C92F08"/>
    <w:rsid w:val="00C9304B"/>
    <w:rsid w:val="00C93744"/>
    <w:rsid w:val="00C93947"/>
    <w:rsid w:val="00C93F6A"/>
    <w:rsid w:val="00C94137"/>
    <w:rsid w:val="00C94874"/>
    <w:rsid w:val="00C948E1"/>
    <w:rsid w:val="00C94BF7"/>
    <w:rsid w:val="00C94CE2"/>
    <w:rsid w:val="00C94D72"/>
    <w:rsid w:val="00C94F4D"/>
    <w:rsid w:val="00C953C8"/>
    <w:rsid w:val="00C95401"/>
    <w:rsid w:val="00C957D0"/>
    <w:rsid w:val="00C9585A"/>
    <w:rsid w:val="00C959B1"/>
    <w:rsid w:val="00C959E4"/>
    <w:rsid w:val="00C95B7C"/>
    <w:rsid w:val="00C96055"/>
    <w:rsid w:val="00C96174"/>
    <w:rsid w:val="00C9621F"/>
    <w:rsid w:val="00C963B0"/>
    <w:rsid w:val="00C96745"/>
    <w:rsid w:val="00C96BC8"/>
    <w:rsid w:val="00C9711E"/>
    <w:rsid w:val="00C976A6"/>
    <w:rsid w:val="00C97A50"/>
    <w:rsid w:val="00C97B51"/>
    <w:rsid w:val="00C97BD4"/>
    <w:rsid w:val="00CA011C"/>
    <w:rsid w:val="00CA03DB"/>
    <w:rsid w:val="00CA03FA"/>
    <w:rsid w:val="00CA05EF"/>
    <w:rsid w:val="00CA09D6"/>
    <w:rsid w:val="00CA09E9"/>
    <w:rsid w:val="00CA0A8B"/>
    <w:rsid w:val="00CA0D95"/>
    <w:rsid w:val="00CA1387"/>
    <w:rsid w:val="00CA18EB"/>
    <w:rsid w:val="00CA1F7C"/>
    <w:rsid w:val="00CA1F9E"/>
    <w:rsid w:val="00CA2005"/>
    <w:rsid w:val="00CA2008"/>
    <w:rsid w:val="00CA267B"/>
    <w:rsid w:val="00CA283B"/>
    <w:rsid w:val="00CA2DD5"/>
    <w:rsid w:val="00CA2F80"/>
    <w:rsid w:val="00CA35B6"/>
    <w:rsid w:val="00CA39DE"/>
    <w:rsid w:val="00CA3AF8"/>
    <w:rsid w:val="00CA3CCD"/>
    <w:rsid w:val="00CA3FE6"/>
    <w:rsid w:val="00CA41B0"/>
    <w:rsid w:val="00CA4606"/>
    <w:rsid w:val="00CA519E"/>
    <w:rsid w:val="00CA5815"/>
    <w:rsid w:val="00CA5E37"/>
    <w:rsid w:val="00CA5EF9"/>
    <w:rsid w:val="00CA6031"/>
    <w:rsid w:val="00CA6167"/>
    <w:rsid w:val="00CA66F9"/>
    <w:rsid w:val="00CA6DD7"/>
    <w:rsid w:val="00CA6E8E"/>
    <w:rsid w:val="00CA6EA9"/>
    <w:rsid w:val="00CA741F"/>
    <w:rsid w:val="00CA751B"/>
    <w:rsid w:val="00CA7576"/>
    <w:rsid w:val="00CA7DD8"/>
    <w:rsid w:val="00CB0210"/>
    <w:rsid w:val="00CB0776"/>
    <w:rsid w:val="00CB0B99"/>
    <w:rsid w:val="00CB0CF0"/>
    <w:rsid w:val="00CB11A6"/>
    <w:rsid w:val="00CB11F3"/>
    <w:rsid w:val="00CB146E"/>
    <w:rsid w:val="00CB1759"/>
    <w:rsid w:val="00CB1916"/>
    <w:rsid w:val="00CB1995"/>
    <w:rsid w:val="00CB1F68"/>
    <w:rsid w:val="00CB206C"/>
    <w:rsid w:val="00CB278B"/>
    <w:rsid w:val="00CB2C38"/>
    <w:rsid w:val="00CB2E29"/>
    <w:rsid w:val="00CB2ED7"/>
    <w:rsid w:val="00CB30B1"/>
    <w:rsid w:val="00CB3B46"/>
    <w:rsid w:val="00CB3E64"/>
    <w:rsid w:val="00CB4362"/>
    <w:rsid w:val="00CB4B7F"/>
    <w:rsid w:val="00CB5305"/>
    <w:rsid w:val="00CB60CD"/>
    <w:rsid w:val="00CB6433"/>
    <w:rsid w:val="00CB6445"/>
    <w:rsid w:val="00CB6908"/>
    <w:rsid w:val="00CB690A"/>
    <w:rsid w:val="00CB6C63"/>
    <w:rsid w:val="00CB7082"/>
    <w:rsid w:val="00CB7432"/>
    <w:rsid w:val="00CB7501"/>
    <w:rsid w:val="00CB7660"/>
    <w:rsid w:val="00CB7F77"/>
    <w:rsid w:val="00CC03D4"/>
    <w:rsid w:val="00CC0404"/>
    <w:rsid w:val="00CC088C"/>
    <w:rsid w:val="00CC097C"/>
    <w:rsid w:val="00CC0E02"/>
    <w:rsid w:val="00CC0E95"/>
    <w:rsid w:val="00CC1012"/>
    <w:rsid w:val="00CC106C"/>
    <w:rsid w:val="00CC13F0"/>
    <w:rsid w:val="00CC1E50"/>
    <w:rsid w:val="00CC2038"/>
    <w:rsid w:val="00CC2394"/>
    <w:rsid w:val="00CC278E"/>
    <w:rsid w:val="00CC2A1F"/>
    <w:rsid w:val="00CC2BBE"/>
    <w:rsid w:val="00CC307F"/>
    <w:rsid w:val="00CC318D"/>
    <w:rsid w:val="00CC3297"/>
    <w:rsid w:val="00CC32F4"/>
    <w:rsid w:val="00CC3A48"/>
    <w:rsid w:val="00CC3B50"/>
    <w:rsid w:val="00CC3E02"/>
    <w:rsid w:val="00CC3E64"/>
    <w:rsid w:val="00CC413F"/>
    <w:rsid w:val="00CC45C1"/>
    <w:rsid w:val="00CC47C4"/>
    <w:rsid w:val="00CC5172"/>
    <w:rsid w:val="00CC51CB"/>
    <w:rsid w:val="00CC5735"/>
    <w:rsid w:val="00CC5791"/>
    <w:rsid w:val="00CC57ED"/>
    <w:rsid w:val="00CC5C70"/>
    <w:rsid w:val="00CC5D09"/>
    <w:rsid w:val="00CC6042"/>
    <w:rsid w:val="00CC669D"/>
    <w:rsid w:val="00CC68D9"/>
    <w:rsid w:val="00CC6AD4"/>
    <w:rsid w:val="00CC6B99"/>
    <w:rsid w:val="00CC6C32"/>
    <w:rsid w:val="00CC6F6E"/>
    <w:rsid w:val="00CC7303"/>
    <w:rsid w:val="00CC75B5"/>
    <w:rsid w:val="00CC79B8"/>
    <w:rsid w:val="00CD0685"/>
    <w:rsid w:val="00CD09E0"/>
    <w:rsid w:val="00CD0CC7"/>
    <w:rsid w:val="00CD1012"/>
    <w:rsid w:val="00CD1362"/>
    <w:rsid w:val="00CD1E4F"/>
    <w:rsid w:val="00CD1EC7"/>
    <w:rsid w:val="00CD1FD0"/>
    <w:rsid w:val="00CD2101"/>
    <w:rsid w:val="00CD25A0"/>
    <w:rsid w:val="00CD26FB"/>
    <w:rsid w:val="00CD27BE"/>
    <w:rsid w:val="00CD3541"/>
    <w:rsid w:val="00CD35C8"/>
    <w:rsid w:val="00CD39C3"/>
    <w:rsid w:val="00CD3D7E"/>
    <w:rsid w:val="00CD3ECB"/>
    <w:rsid w:val="00CD4455"/>
    <w:rsid w:val="00CD4D9A"/>
    <w:rsid w:val="00CD4E9E"/>
    <w:rsid w:val="00CD4ECA"/>
    <w:rsid w:val="00CD56A2"/>
    <w:rsid w:val="00CD5F4E"/>
    <w:rsid w:val="00CD6278"/>
    <w:rsid w:val="00CD6607"/>
    <w:rsid w:val="00CD6672"/>
    <w:rsid w:val="00CD67C3"/>
    <w:rsid w:val="00CD6CFE"/>
    <w:rsid w:val="00CD7F01"/>
    <w:rsid w:val="00CE043C"/>
    <w:rsid w:val="00CE050B"/>
    <w:rsid w:val="00CE05A3"/>
    <w:rsid w:val="00CE0BE9"/>
    <w:rsid w:val="00CE0CA8"/>
    <w:rsid w:val="00CE133A"/>
    <w:rsid w:val="00CE1860"/>
    <w:rsid w:val="00CE18D6"/>
    <w:rsid w:val="00CE1D85"/>
    <w:rsid w:val="00CE2190"/>
    <w:rsid w:val="00CE2516"/>
    <w:rsid w:val="00CE29BE"/>
    <w:rsid w:val="00CE2F64"/>
    <w:rsid w:val="00CE3B13"/>
    <w:rsid w:val="00CE4108"/>
    <w:rsid w:val="00CE4111"/>
    <w:rsid w:val="00CE4202"/>
    <w:rsid w:val="00CE46D0"/>
    <w:rsid w:val="00CE470C"/>
    <w:rsid w:val="00CE4AD3"/>
    <w:rsid w:val="00CE4C01"/>
    <w:rsid w:val="00CE4DBE"/>
    <w:rsid w:val="00CE50DC"/>
    <w:rsid w:val="00CE514C"/>
    <w:rsid w:val="00CE57AF"/>
    <w:rsid w:val="00CE5A3C"/>
    <w:rsid w:val="00CE5FBA"/>
    <w:rsid w:val="00CE6048"/>
    <w:rsid w:val="00CE6072"/>
    <w:rsid w:val="00CE6383"/>
    <w:rsid w:val="00CE6501"/>
    <w:rsid w:val="00CE6E6F"/>
    <w:rsid w:val="00CE6E82"/>
    <w:rsid w:val="00CE7790"/>
    <w:rsid w:val="00CE7917"/>
    <w:rsid w:val="00CF01CB"/>
    <w:rsid w:val="00CF0517"/>
    <w:rsid w:val="00CF0727"/>
    <w:rsid w:val="00CF0955"/>
    <w:rsid w:val="00CF0992"/>
    <w:rsid w:val="00CF0997"/>
    <w:rsid w:val="00CF0BCD"/>
    <w:rsid w:val="00CF0C7F"/>
    <w:rsid w:val="00CF1104"/>
    <w:rsid w:val="00CF1208"/>
    <w:rsid w:val="00CF15E7"/>
    <w:rsid w:val="00CF15EF"/>
    <w:rsid w:val="00CF2575"/>
    <w:rsid w:val="00CF2688"/>
    <w:rsid w:val="00CF2737"/>
    <w:rsid w:val="00CF281E"/>
    <w:rsid w:val="00CF29AA"/>
    <w:rsid w:val="00CF2E24"/>
    <w:rsid w:val="00CF2ED2"/>
    <w:rsid w:val="00CF2EF9"/>
    <w:rsid w:val="00CF3776"/>
    <w:rsid w:val="00CF379E"/>
    <w:rsid w:val="00CF3871"/>
    <w:rsid w:val="00CF3A73"/>
    <w:rsid w:val="00CF3C06"/>
    <w:rsid w:val="00CF3F11"/>
    <w:rsid w:val="00CF3F35"/>
    <w:rsid w:val="00CF4212"/>
    <w:rsid w:val="00CF451E"/>
    <w:rsid w:val="00CF474F"/>
    <w:rsid w:val="00CF51EB"/>
    <w:rsid w:val="00CF5263"/>
    <w:rsid w:val="00CF5404"/>
    <w:rsid w:val="00CF5700"/>
    <w:rsid w:val="00CF587C"/>
    <w:rsid w:val="00CF5B4F"/>
    <w:rsid w:val="00CF5BCC"/>
    <w:rsid w:val="00CF5C03"/>
    <w:rsid w:val="00CF5D4E"/>
    <w:rsid w:val="00CF5F84"/>
    <w:rsid w:val="00CF5FD9"/>
    <w:rsid w:val="00CF7080"/>
    <w:rsid w:val="00CF71AD"/>
    <w:rsid w:val="00CF71C8"/>
    <w:rsid w:val="00CF71DD"/>
    <w:rsid w:val="00CF7343"/>
    <w:rsid w:val="00CF7CD9"/>
    <w:rsid w:val="00CF7D19"/>
    <w:rsid w:val="00CF7D86"/>
    <w:rsid w:val="00CF7E12"/>
    <w:rsid w:val="00CF7EE1"/>
    <w:rsid w:val="00D000CB"/>
    <w:rsid w:val="00D00188"/>
    <w:rsid w:val="00D006F8"/>
    <w:rsid w:val="00D009F1"/>
    <w:rsid w:val="00D00B74"/>
    <w:rsid w:val="00D00BDD"/>
    <w:rsid w:val="00D00FCE"/>
    <w:rsid w:val="00D016E7"/>
    <w:rsid w:val="00D017E7"/>
    <w:rsid w:val="00D01E91"/>
    <w:rsid w:val="00D027ED"/>
    <w:rsid w:val="00D028A1"/>
    <w:rsid w:val="00D02A59"/>
    <w:rsid w:val="00D02D78"/>
    <w:rsid w:val="00D02FAA"/>
    <w:rsid w:val="00D030E4"/>
    <w:rsid w:val="00D033E5"/>
    <w:rsid w:val="00D034C3"/>
    <w:rsid w:val="00D03B27"/>
    <w:rsid w:val="00D03B6E"/>
    <w:rsid w:val="00D0414C"/>
    <w:rsid w:val="00D04267"/>
    <w:rsid w:val="00D04540"/>
    <w:rsid w:val="00D04611"/>
    <w:rsid w:val="00D04679"/>
    <w:rsid w:val="00D0471D"/>
    <w:rsid w:val="00D04839"/>
    <w:rsid w:val="00D0510E"/>
    <w:rsid w:val="00D053F9"/>
    <w:rsid w:val="00D0590E"/>
    <w:rsid w:val="00D059CD"/>
    <w:rsid w:val="00D059D2"/>
    <w:rsid w:val="00D059E4"/>
    <w:rsid w:val="00D0624D"/>
    <w:rsid w:val="00D0658D"/>
    <w:rsid w:val="00D06939"/>
    <w:rsid w:val="00D0699C"/>
    <w:rsid w:val="00D06A8B"/>
    <w:rsid w:val="00D06BF0"/>
    <w:rsid w:val="00D06FBB"/>
    <w:rsid w:val="00D07362"/>
    <w:rsid w:val="00D07549"/>
    <w:rsid w:val="00D07C10"/>
    <w:rsid w:val="00D07C2F"/>
    <w:rsid w:val="00D07E1E"/>
    <w:rsid w:val="00D07E24"/>
    <w:rsid w:val="00D07F9C"/>
    <w:rsid w:val="00D07FAB"/>
    <w:rsid w:val="00D10165"/>
    <w:rsid w:val="00D10220"/>
    <w:rsid w:val="00D10235"/>
    <w:rsid w:val="00D103DD"/>
    <w:rsid w:val="00D10786"/>
    <w:rsid w:val="00D10C5A"/>
    <w:rsid w:val="00D10FEA"/>
    <w:rsid w:val="00D11C3D"/>
    <w:rsid w:val="00D11EB4"/>
    <w:rsid w:val="00D12258"/>
    <w:rsid w:val="00D1227A"/>
    <w:rsid w:val="00D122B2"/>
    <w:rsid w:val="00D123D5"/>
    <w:rsid w:val="00D12A19"/>
    <w:rsid w:val="00D12D6C"/>
    <w:rsid w:val="00D12D89"/>
    <w:rsid w:val="00D13416"/>
    <w:rsid w:val="00D134E9"/>
    <w:rsid w:val="00D14158"/>
    <w:rsid w:val="00D14319"/>
    <w:rsid w:val="00D143EB"/>
    <w:rsid w:val="00D148C8"/>
    <w:rsid w:val="00D14C5E"/>
    <w:rsid w:val="00D14CE8"/>
    <w:rsid w:val="00D14E7D"/>
    <w:rsid w:val="00D14F01"/>
    <w:rsid w:val="00D14FD6"/>
    <w:rsid w:val="00D152E2"/>
    <w:rsid w:val="00D15421"/>
    <w:rsid w:val="00D15505"/>
    <w:rsid w:val="00D15626"/>
    <w:rsid w:val="00D15E23"/>
    <w:rsid w:val="00D15EBD"/>
    <w:rsid w:val="00D16266"/>
    <w:rsid w:val="00D1631F"/>
    <w:rsid w:val="00D16371"/>
    <w:rsid w:val="00D169A0"/>
    <w:rsid w:val="00D16AC4"/>
    <w:rsid w:val="00D16AC7"/>
    <w:rsid w:val="00D16AF9"/>
    <w:rsid w:val="00D16FEB"/>
    <w:rsid w:val="00D16FF4"/>
    <w:rsid w:val="00D171B7"/>
    <w:rsid w:val="00D173A9"/>
    <w:rsid w:val="00D17505"/>
    <w:rsid w:val="00D175CA"/>
    <w:rsid w:val="00D175FE"/>
    <w:rsid w:val="00D17638"/>
    <w:rsid w:val="00D177F5"/>
    <w:rsid w:val="00D17B5B"/>
    <w:rsid w:val="00D17CB7"/>
    <w:rsid w:val="00D17F63"/>
    <w:rsid w:val="00D2034D"/>
    <w:rsid w:val="00D206FD"/>
    <w:rsid w:val="00D20721"/>
    <w:rsid w:val="00D2093B"/>
    <w:rsid w:val="00D20BBF"/>
    <w:rsid w:val="00D20E06"/>
    <w:rsid w:val="00D21D7D"/>
    <w:rsid w:val="00D21D8F"/>
    <w:rsid w:val="00D21F8A"/>
    <w:rsid w:val="00D22573"/>
    <w:rsid w:val="00D227CF"/>
    <w:rsid w:val="00D227E2"/>
    <w:rsid w:val="00D228AF"/>
    <w:rsid w:val="00D22B45"/>
    <w:rsid w:val="00D22D48"/>
    <w:rsid w:val="00D23182"/>
    <w:rsid w:val="00D23621"/>
    <w:rsid w:val="00D24001"/>
    <w:rsid w:val="00D24175"/>
    <w:rsid w:val="00D2424C"/>
    <w:rsid w:val="00D2446E"/>
    <w:rsid w:val="00D24577"/>
    <w:rsid w:val="00D245AF"/>
    <w:rsid w:val="00D24798"/>
    <w:rsid w:val="00D24833"/>
    <w:rsid w:val="00D25D37"/>
    <w:rsid w:val="00D25D80"/>
    <w:rsid w:val="00D26029"/>
    <w:rsid w:val="00D26576"/>
    <w:rsid w:val="00D265F9"/>
    <w:rsid w:val="00D268BA"/>
    <w:rsid w:val="00D26E7A"/>
    <w:rsid w:val="00D2736F"/>
    <w:rsid w:val="00D27382"/>
    <w:rsid w:val="00D273DB"/>
    <w:rsid w:val="00D274C4"/>
    <w:rsid w:val="00D2752A"/>
    <w:rsid w:val="00D27A52"/>
    <w:rsid w:val="00D30720"/>
    <w:rsid w:val="00D3092E"/>
    <w:rsid w:val="00D30CC4"/>
    <w:rsid w:val="00D31109"/>
    <w:rsid w:val="00D3191F"/>
    <w:rsid w:val="00D31B6D"/>
    <w:rsid w:val="00D32543"/>
    <w:rsid w:val="00D327EF"/>
    <w:rsid w:val="00D329B8"/>
    <w:rsid w:val="00D33051"/>
    <w:rsid w:val="00D332AD"/>
    <w:rsid w:val="00D334C9"/>
    <w:rsid w:val="00D335CB"/>
    <w:rsid w:val="00D338A5"/>
    <w:rsid w:val="00D33FDB"/>
    <w:rsid w:val="00D34517"/>
    <w:rsid w:val="00D348D4"/>
    <w:rsid w:val="00D34FC4"/>
    <w:rsid w:val="00D3510F"/>
    <w:rsid w:val="00D3568E"/>
    <w:rsid w:val="00D356E0"/>
    <w:rsid w:val="00D359BB"/>
    <w:rsid w:val="00D35D7A"/>
    <w:rsid w:val="00D35EC5"/>
    <w:rsid w:val="00D3609E"/>
    <w:rsid w:val="00D36327"/>
    <w:rsid w:val="00D36B85"/>
    <w:rsid w:val="00D36F74"/>
    <w:rsid w:val="00D371A3"/>
    <w:rsid w:val="00D375D0"/>
    <w:rsid w:val="00D3782C"/>
    <w:rsid w:val="00D37844"/>
    <w:rsid w:val="00D37F58"/>
    <w:rsid w:val="00D37F9F"/>
    <w:rsid w:val="00D400DD"/>
    <w:rsid w:val="00D40168"/>
    <w:rsid w:val="00D40301"/>
    <w:rsid w:val="00D40452"/>
    <w:rsid w:val="00D40569"/>
    <w:rsid w:val="00D406E6"/>
    <w:rsid w:val="00D409F8"/>
    <w:rsid w:val="00D40E19"/>
    <w:rsid w:val="00D41065"/>
    <w:rsid w:val="00D41612"/>
    <w:rsid w:val="00D41C52"/>
    <w:rsid w:val="00D42313"/>
    <w:rsid w:val="00D423A4"/>
    <w:rsid w:val="00D42F5F"/>
    <w:rsid w:val="00D4328E"/>
    <w:rsid w:val="00D4413F"/>
    <w:rsid w:val="00D44F8C"/>
    <w:rsid w:val="00D4531D"/>
    <w:rsid w:val="00D45623"/>
    <w:rsid w:val="00D45AD3"/>
    <w:rsid w:val="00D45CCD"/>
    <w:rsid w:val="00D45CE8"/>
    <w:rsid w:val="00D45F1E"/>
    <w:rsid w:val="00D4610C"/>
    <w:rsid w:val="00D4644C"/>
    <w:rsid w:val="00D4653E"/>
    <w:rsid w:val="00D4662F"/>
    <w:rsid w:val="00D46BD8"/>
    <w:rsid w:val="00D470A8"/>
    <w:rsid w:val="00D470B6"/>
    <w:rsid w:val="00D478D0"/>
    <w:rsid w:val="00D47DED"/>
    <w:rsid w:val="00D47E00"/>
    <w:rsid w:val="00D50052"/>
    <w:rsid w:val="00D502AC"/>
    <w:rsid w:val="00D50390"/>
    <w:rsid w:val="00D503D8"/>
    <w:rsid w:val="00D5099F"/>
    <w:rsid w:val="00D51281"/>
    <w:rsid w:val="00D5146C"/>
    <w:rsid w:val="00D516B0"/>
    <w:rsid w:val="00D517FF"/>
    <w:rsid w:val="00D5183C"/>
    <w:rsid w:val="00D51914"/>
    <w:rsid w:val="00D52062"/>
    <w:rsid w:val="00D524B9"/>
    <w:rsid w:val="00D525E6"/>
    <w:rsid w:val="00D527B2"/>
    <w:rsid w:val="00D52F83"/>
    <w:rsid w:val="00D53572"/>
    <w:rsid w:val="00D5358D"/>
    <w:rsid w:val="00D53AFC"/>
    <w:rsid w:val="00D53C25"/>
    <w:rsid w:val="00D53D82"/>
    <w:rsid w:val="00D53E0A"/>
    <w:rsid w:val="00D53E97"/>
    <w:rsid w:val="00D543B8"/>
    <w:rsid w:val="00D547D2"/>
    <w:rsid w:val="00D5497A"/>
    <w:rsid w:val="00D54A11"/>
    <w:rsid w:val="00D54B44"/>
    <w:rsid w:val="00D54B45"/>
    <w:rsid w:val="00D54C70"/>
    <w:rsid w:val="00D54D6C"/>
    <w:rsid w:val="00D54D92"/>
    <w:rsid w:val="00D54FC9"/>
    <w:rsid w:val="00D550FB"/>
    <w:rsid w:val="00D552D2"/>
    <w:rsid w:val="00D556AE"/>
    <w:rsid w:val="00D556B3"/>
    <w:rsid w:val="00D55932"/>
    <w:rsid w:val="00D55B92"/>
    <w:rsid w:val="00D55E40"/>
    <w:rsid w:val="00D55F27"/>
    <w:rsid w:val="00D55FD3"/>
    <w:rsid w:val="00D560D0"/>
    <w:rsid w:val="00D566CF"/>
    <w:rsid w:val="00D56860"/>
    <w:rsid w:val="00D56DFC"/>
    <w:rsid w:val="00D5786D"/>
    <w:rsid w:val="00D579BF"/>
    <w:rsid w:val="00D57B39"/>
    <w:rsid w:val="00D57D15"/>
    <w:rsid w:val="00D6002D"/>
    <w:rsid w:val="00D60747"/>
    <w:rsid w:val="00D60A5E"/>
    <w:rsid w:val="00D60D90"/>
    <w:rsid w:val="00D60FED"/>
    <w:rsid w:val="00D61521"/>
    <w:rsid w:val="00D619B5"/>
    <w:rsid w:val="00D623B0"/>
    <w:rsid w:val="00D625B0"/>
    <w:rsid w:val="00D6271E"/>
    <w:rsid w:val="00D62976"/>
    <w:rsid w:val="00D629E3"/>
    <w:rsid w:val="00D62AA4"/>
    <w:rsid w:val="00D62D51"/>
    <w:rsid w:val="00D62E77"/>
    <w:rsid w:val="00D632EF"/>
    <w:rsid w:val="00D637E7"/>
    <w:rsid w:val="00D63808"/>
    <w:rsid w:val="00D63922"/>
    <w:rsid w:val="00D63B66"/>
    <w:rsid w:val="00D63D06"/>
    <w:rsid w:val="00D63FDC"/>
    <w:rsid w:val="00D641F3"/>
    <w:rsid w:val="00D6462B"/>
    <w:rsid w:val="00D64ECA"/>
    <w:rsid w:val="00D65057"/>
    <w:rsid w:val="00D650B1"/>
    <w:rsid w:val="00D651B8"/>
    <w:rsid w:val="00D652D3"/>
    <w:rsid w:val="00D652EA"/>
    <w:rsid w:val="00D6569E"/>
    <w:rsid w:val="00D65B35"/>
    <w:rsid w:val="00D65CFD"/>
    <w:rsid w:val="00D661DA"/>
    <w:rsid w:val="00D663B2"/>
    <w:rsid w:val="00D665D6"/>
    <w:rsid w:val="00D66A02"/>
    <w:rsid w:val="00D66AA7"/>
    <w:rsid w:val="00D66AD7"/>
    <w:rsid w:val="00D66EC3"/>
    <w:rsid w:val="00D67288"/>
    <w:rsid w:val="00D6743F"/>
    <w:rsid w:val="00D678EC"/>
    <w:rsid w:val="00D67AF3"/>
    <w:rsid w:val="00D67BD9"/>
    <w:rsid w:val="00D67D83"/>
    <w:rsid w:val="00D70453"/>
    <w:rsid w:val="00D7086C"/>
    <w:rsid w:val="00D708AF"/>
    <w:rsid w:val="00D70BB2"/>
    <w:rsid w:val="00D70CCB"/>
    <w:rsid w:val="00D70CFC"/>
    <w:rsid w:val="00D70EE4"/>
    <w:rsid w:val="00D713B5"/>
    <w:rsid w:val="00D71553"/>
    <w:rsid w:val="00D715C2"/>
    <w:rsid w:val="00D71BA2"/>
    <w:rsid w:val="00D72154"/>
    <w:rsid w:val="00D72544"/>
    <w:rsid w:val="00D728A5"/>
    <w:rsid w:val="00D7299F"/>
    <w:rsid w:val="00D72F1A"/>
    <w:rsid w:val="00D72F58"/>
    <w:rsid w:val="00D73243"/>
    <w:rsid w:val="00D734A3"/>
    <w:rsid w:val="00D7365A"/>
    <w:rsid w:val="00D739B6"/>
    <w:rsid w:val="00D73AAE"/>
    <w:rsid w:val="00D73D41"/>
    <w:rsid w:val="00D73DB3"/>
    <w:rsid w:val="00D7407A"/>
    <w:rsid w:val="00D74484"/>
    <w:rsid w:val="00D74E6B"/>
    <w:rsid w:val="00D74FE6"/>
    <w:rsid w:val="00D75368"/>
    <w:rsid w:val="00D754E3"/>
    <w:rsid w:val="00D75554"/>
    <w:rsid w:val="00D7567D"/>
    <w:rsid w:val="00D75704"/>
    <w:rsid w:val="00D75ECF"/>
    <w:rsid w:val="00D7605E"/>
    <w:rsid w:val="00D7614D"/>
    <w:rsid w:val="00D76247"/>
    <w:rsid w:val="00D763B1"/>
    <w:rsid w:val="00D76DAA"/>
    <w:rsid w:val="00D76ECC"/>
    <w:rsid w:val="00D770B0"/>
    <w:rsid w:val="00D777CD"/>
    <w:rsid w:val="00D77A6B"/>
    <w:rsid w:val="00D802D2"/>
    <w:rsid w:val="00D80401"/>
    <w:rsid w:val="00D80522"/>
    <w:rsid w:val="00D8078A"/>
    <w:rsid w:val="00D80D29"/>
    <w:rsid w:val="00D80DEB"/>
    <w:rsid w:val="00D810C8"/>
    <w:rsid w:val="00D81498"/>
    <w:rsid w:val="00D817F9"/>
    <w:rsid w:val="00D81E3E"/>
    <w:rsid w:val="00D81F69"/>
    <w:rsid w:val="00D821A8"/>
    <w:rsid w:val="00D82201"/>
    <w:rsid w:val="00D82233"/>
    <w:rsid w:val="00D8236E"/>
    <w:rsid w:val="00D826D1"/>
    <w:rsid w:val="00D82EFE"/>
    <w:rsid w:val="00D82F62"/>
    <w:rsid w:val="00D8302D"/>
    <w:rsid w:val="00D83101"/>
    <w:rsid w:val="00D83346"/>
    <w:rsid w:val="00D83551"/>
    <w:rsid w:val="00D83BDE"/>
    <w:rsid w:val="00D83F22"/>
    <w:rsid w:val="00D8438C"/>
    <w:rsid w:val="00D84407"/>
    <w:rsid w:val="00D84B1C"/>
    <w:rsid w:val="00D85BF5"/>
    <w:rsid w:val="00D861B8"/>
    <w:rsid w:val="00D86278"/>
    <w:rsid w:val="00D86494"/>
    <w:rsid w:val="00D86635"/>
    <w:rsid w:val="00D866ED"/>
    <w:rsid w:val="00D86703"/>
    <w:rsid w:val="00D8695C"/>
    <w:rsid w:val="00D86BD3"/>
    <w:rsid w:val="00D86C5F"/>
    <w:rsid w:val="00D871D6"/>
    <w:rsid w:val="00D87586"/>
    <w:rsid w:val="00D878DC"/>
    <w:rsid w:val="00D9034F"/>
    <w:rsid w:val="00D911C0"/>
    <w:rsid w:val="00D911E8"/>
    <w:rsid w:val="00D91910"/>
    <w:rsid w:val="00D91931"/>
    <w:rsid w:val="00D91AEF"/>
    <w:rsid w:val="00D92696"/>
    <w:rsid w:val="00D92ADB"/>
    <w:rsid w:val="00D92EBC"/>
    <w:rsid w:val="00D92FF9"/>
    <w:rsid w:val="00D931CA"/>
    <w:rsid w:val="00D93632"/>
    <w:rsid w:val="00D9401D"/>
    <w:rsid w:val="00D94233"/>
    <w:rsid w:val="00D94484"/>
    <w:rsid w:val="00D94760"/>
    <w:rsid w:val="00D948F7"/>
    <w:rsid w:val="00D94C94"/>
    <w:rsid w:val="00D94D89"/>
    <w:rsid w:val="00D95071"/>
    <w:rsid w:val="00D953AC"/>
    <w:rsid w:val="00D959E6"/>
    <w:rsid w:val="00D95A82"/>
    <w:rsid w:val="00D95D10"/>
    <w:rsid w:val="00D962CF"/>
    <w:rsid w:val="00D9630D"/>
    <w:rsid w:val="00D96E28"/>
    <w:rsid w:val="00D9720E"/>
    <w:rsid w:val="00D975DE"/>
    <w:rsid w:val="00D97698"/>
    <w:rsid w:val="00D978C1"/>
    <w:rsid w:val="00D97A91"/>
    <w:rsid w:val="00D97B58"/>
    <w:rsid w:val="00D97BC1"/>
    <w:rsid w:val="00D97E53"/>
    <w:rsid w:val="00DA0292"/>
    <w:rsid w:val="00DA03A9"/>
    <w:rsid w:val="00DA03FD"/>
    <w:rsid w:val="00DA056A"/>
    <w:rsid w:val="00DA0647"/>
    <w:rsid w:val="00DA0729"/>
    <w:rsid w:val="00DA0CDF"/>
    <w:rsid w:val="00DA12C3"/>
    <w:rsid w:val="00DA13BC"/>
    <w:rsid w:val="00DA1576"/>
    <w:rsid w:val="00DA1863"/>
    <w:rsid w:val="00DA1A71"/>
    <w:rsid w:val="00DA1AFA"/>
    <w:rsid w:val="00DA1BBD"/>
    <w:rsid w:val="00DA1CD7"/>
    <w:rsid w:val="00DA2003"/>
    <w:rsid w:val="00DA20E3"/>
    <w:rsid w:val="00DA2154"/>
    <w:rsid w:val="00DA2A43"/>
    <w:rsid w:val="00DA31D9"/>
    <w:rsid w:val="00DA3BFC"/>
    <w:rsid w:val="00DA426D"/>
    <w:rsid w:val="00DA4486"/>
    <w:rsid w:val="00DA44EA"/>
    <w:rsid w:val="00DA4676"/>
    <w:rsid w:val="00DA4867"/>
    <w:rsid w:val="00DA4874"/>
    <w:rsid w:val="00DA4A27"/>
    <w:rsid w:val="00DA4B6D"/>
    <w:rsid w:val="00DA4E07"/>
    <w:rsid w:val="00DA521C"/>
    <w:rsid w:val="00DA52B8"/>
    <w:rsid w:val="00DA58E5"/>
    <w:rsid w:val="00DA5E18"/>
    <w:rsid w:val="00DA61A2"/>
    <w:rsid w:val="00DA635D"/>
    <w:rsid w:val="00DA6419"/>
    <w:rsid w:val="00DA75B9"/>
    <w:rsid w:val="00DA767A"/>
    <w:rsid w:val="00DA7795"/>
    <w:rsid w:val="00DA7B6B"/>
    <w:rsid w:val="00DA7D12"/>
    <w:rsid w:val="00DB003A"/>
    <w:rsid w:val="00DB00FE"/>
    <w:rsid w:val="00DB054E"/>
    <w:rsid w:val="00DB07A1"/>
    <w:rsid w:val="00DB0F2D"/>
    <w:rsid w:val="00DB13AA"/>
    <w:rsid w:val="00DB1402"/>
    <w:rsid w:val="00DB142D"/>
    <w:rsid w:val="00DB1449"/>
    <w:rsid w:val="00DB1E1F"/>
    <w:rsid w:val="00DB21BA"/>
    <w:rsid w:val="00DB2583"/>
    <w:rsid w:val="00DB2625"/>
    <w:rsid w:val="00DB2715"/>
    <w:rsid w:val="00DB3170"/>
    <w:rsid w:val="00DB3380"/>
    <w:rsid w:val="00DB3581"/>
    <w:rsid w:val="00DB392C"/>
    <w:rsid w:val="00DB3D43"/>
    <w:rsid w:val="00DB3FAC"/>
    <w:rsid w:val="00DB4318"/>
    <w:rsid w:val="00DB446E"/>
    <w:rsid w:val="00DB4A0A"/>
    <w:rsid w:val="00DB4AD9"/>
    <w:rsid w:val="00DB4C23"/>
    <w:rsid w:val="00DB4D50"/>
    <w:rsid w:val="00DB4F52"/>
    <w:rsid w:val="00DB50B0"/>
    <w:rsid w:val="00DB522D"/>
    <w:rsid w:val="00DB5525"/>
    <w:rsid w:val="00DB556F"/>
    <w:rsid w:val="00DB59F1"/>
    <w:rsid w:val="00DB6067"/>
    <w:rsid w:val="00DB6644"/>
    <w:rsid w:val="00DB6B32"/>
    <w:rsid w:val="00DB6FCE"/>
    <w:rsid w:val="00DB700C"/>
    <w:rsid w:val="00DB712A"/>
    <w:rsid w:val="00DB7B87"/>
    <w:rsid w:val="00DC0595"/>
    <w:rsid w:val="00DC0B68"/>
    <w:rsid w:val="00DC0F4A"/>
    <w:rsid w:val="00DC0FB9"/>
    <w:rsid w:val="00DC16D3"/>
    <w:rsid w:val="00DC1D47"/>
    <w:rsid w:val="00DC236B"/>
    <w:rsid w:val="00DC24A2"/>
    <w:rsid w:val="00DC26A9"/>
    <w:rsid w:val="00DC29DC"/>
    <w:rsid w:val="00DC2A8E"/>
    <w:rsid w:val="00DC2B48"/>
    <w:rsid w:val="00DC2B9F"/>
    <w:rsid w:val="00DC2DF5"/>
    <w:rsid w:val="00DC3120"/>
    <w:rsid w:val="00DC342C"/>
    <w:rsid w:val="00DC34E3"/>
    <w:rsid w:val="00DC39F7"/>
    <w:rsid w:val="00DC3ED0"/>
    <w:rsid w:val="00DC3FE2"/>
    <w:rsid w:val="00DC4225"/>
    <w:rsid w:val="00DC4438"/>
    <w:rsid w:val="00DC4DF5"/>
    <w:rsid w:val="00DC4F57"/>
    <w:rsid w:val="00DC4F8D"/>
    <w:rsid w:val="00DC5518"/>
    <w:rsid w:val="00DC55B2"/>
    <w:rsid w:val="00DC56C9"/>
    <w:rsid w:val="00DC5AB7"/>
    <w:rsid w:val="00DC6546"/>
    <w:rsid w:val="00DC6592"/>
    <w:rsid w:val="00DC67C7"/>
    <w:rsid w:val="00DC6865"/>
    <w:rsid w:val="00DC6CFF"/>
    <w:rsid w:val="00DC7500"/>
    <w:rsid w:val="00DD02F8"/>
    <w:rsid w:val="00DD0580"/>
    <w:rsid w:val="00DD0EB0"/>
    <w:rsid w:val="00DD10D7"/>
    <w:rsid w:val="00DD13E2"/>
    <w:rsid w:val="00DD1520"/>
    <w:rsid w:val="00DD1553"/>
    <w:rsid w:val="00DD1A5B"/>
    <w:rsid w:val="00DD1DEF"/>
    <w:rsid w:val="00DD1ECD"/>
    <w:rsid w:val="00DD21C1"/>
    <w:rsid w:val="00DD246D"/>
    <w:rsid w:val="00DD2730"/>
    <w:rsid w:val="00DD2782"/>
    <w:rsid w:val="00DD2E4D"/>
    <w:rsid w:val="00DD30DA"/>
    <w:rsid w:val="00DD30F4"/>
    <w:rsid w:val="00DD31B4"/>
    <w:rsid w:val="00DD3519"/>
    <w:rsid w:val="00DD35BA"/>
    <w:rsid w:val="00DD380F"/>
    <w:rsid w:val="00DD3A10"/>
    <w:rsid w:val="00DD3B25"/>
    <w:rsid w:val="00DD3C82"/>
    <w:rsid w:val="00DD3D10"/>
    <w:rsid w:val="00DD3DE5"/>
    <w:rsid w:val="00DD4484"/>
    <w:rsid w:val="00DD46ED"/>
    <w:rsid w:val="00DD4A4C"/>
    <w:rsid w:val="00DD4C24"/>
    <w:rsid w:val="00DD4C81"/>
    <w:rsid w:val="00DD4DE0"/>
    <w:rsid w:val="00DD5050"/>
    <w:rsid w:val="00DD5316"/>
    <w:rsid w:val="00DD579B"/>
    <w:rsid w:val="00DD6159"/>
    <w:rsid w:val="00DD6346"/>
    <w:rsid w:val="00DD6365"/>
    <w:rsid w:val="00DD66ED"/>
    <w:rsid w:val="00DD6AEE"/>
    <w:rsid w:val="00DD6CF7"/>
    <w:rsid w:val="00DD7469"/>
    <w:rsid w:val="00DD79BA"/>
    <w:rsid w:val="00DD7A91"/>
    <w:rsid w:val="00DD7CF8"/>
    <w:rsid w:val="00DD7D7E"/>
    <w:rsid w:val="00DE019E"/>
    <w:rsid w:val="00DE0327"/>
    <w:rsid w:val="00DE0504"/>
    <w:rsid w:val="00DE059D"/>
    <w:rsid w:val="00DE0BEA"/>
    <w:rsid w:val="00DE0C33"/>
    <w:rsid w:val="00DE15F0"/>
    <w:rsid w:val="00DE1901"/>
    <w:rsid w:val="00DE1BCB"/>
    <w:rsid w:val="00DE1D47"/>
    <w:rsid w:val="00DE1E40"/>
    <w:rsid w:val="00DE2300"/>
    <w:rsid w:val="00DE2A4A"/>
    <w:rsid w:val="00DE2DE5"/>
    <w:rsid w:val="00DE30AC"/>
    <w:rsid w:val="00DE32E0"/>
    <w:rsid w:val="00DE3477"/>
    <w:rsid w:val="00DE3A5F"/>
    <w:rsid w:val="00DE4137"/>
    <w:rsid w:val="00DE4465"/>
    <w:rsid w:val="00DE4BC0"/>
    <w:rsid w:val="00DE4C70"/>
    <w:rsid w:val="00DE4D8D"/>
    <w:rsid w:val="00DE4EA9"/>
    <w:rsid w:val="00DE4EED"/>
    <w:rsid w:val="00DE50AE"/>
    <w:rsid w:val="00DE5625"/>
    <w:rsid w:val="00DE6AD6"/>
    <w:rsid w:val="00DE6EFE"/>
    <w:rsid w:val="00DE6F05"/>
    <w:rsid w:val="00DE6F64"/>
    <w:rsid w:val="00DE7159"/>
    <w:rsid w:val="00DE744C"/>
    <w:rsid w:val="00DE772F"/>
    <w:rsid w:val="00DE7F94"/>
    <w:rsid w:val="00DF0390"/>
    <w:rsid w:val="00DF068B"/>
    <w:rsid w:val="00DF0F1F"/>
    <w:rsid w:val="00DF0FEC"/>
    <w:rsid w:val="00DF1051"/>
    <w:rsid w:val="00DF165D"/>
    <w:rsid w:val="00DF17C0"/>
    <w:rsid w:val="00DF18E1"/>
    <w:rsid w:val="00DF1DEF"/>
    <w:rsid w:val="00DF1EDB"/>
    <w:rsid w:val="00DF22BF"/>
    <w:rsid w:val="00DF2460"/>
    <w:rsid w:val="00DF275C"/>
    <w:rsid w:val="00DF27CD"/>
    <w:rsid w:val="00DF29BC"/>
    <w:rsid w:val="00DF2D38"/>
    <w:rsid w:val="00DF3589"/>
    <w:rsid w:val="00DF3D04"/>
    <w:rsid w:val="00DF3DCD"/>
    <w:rsid w:val="00DF44A4"/>
    <w:rsid w:val="00DF4B71"/>
    <w:rsid w:val="00DF4C03"/>
    <w:rsid w:val="00DF4F59"/>
    <w:rsid w:val="00DF531B"/>
    <w:rsid w:val="00DF5721"/>
    <w:rsid w:val="00DF5E2C"/>
    <w:rsid w:val="00DF60FE"/>
    <w:rsid w:val="00DF66C0"/>
    <w:rsid w:val="00DF6BEA"/>
    <w:rsid w:val="00DF6C13"/>
    <w:rsid w:val="00DF6ED9"/>
    <w:rsid w:val="00DF7087"/>
    <w:rsid w:val="00DF7347"/>
    <w:rsid w:val="00DF7B5C"/>
    <w:rsid w:val="00DF7D27"/>
    <w:rsid w:val="00DF7DED"/>
    <w:rsid w:val="00E0031C"/>
    <w:rsid w:val="00E004DA"/>
    <w:rsid w:val="00E00A19"/>
    <w:rsid w:val="00E00B05"/>
    <w:rsid w:val="00E012AC"/>
    <w:rsid w:val="00E012D9"/>
    <w:rsid w:val="00E013E5"/>
    <w:rsid w:val="00E014A9"/>
    <w:rsid w:val="00E014EA"/>
    <w:rsid w:val="00E01795"/>
    <w:rsid w:val="00E01B52"/>
    <w:rsid w:val="00E01EB3"/>
    <w:rsid w:val="00E0263F"/>
    <w:rsid w:val="00E02671"/>
    <w:rsid w:val="00E0279D"/>
    <w:rsid w:val="00E02D33"/>
    <w:rsid w:val="00E02E56"/>
    <w:rsid w:val="00E0390E"/>
    <w:rsid w:val="00E03F73"/>
    <w:rsid w:val="00E0411A"/>
    <w:rsid w:val="00E042FD"/>
    <w:rsid w:val="00E04A44"/>
    <w:rsid w:val="00E053B9"/>
    <w:rsid w:val="00E05606"/>
    <w:rsid w:val="00E056F3"/>
    <w:rsid w:val="00E05DC9"/>
    <w:rsid w:val="00E06662"/>
    <w:rsid w:val="00E06705"/>
    <w:rsid w:val="00E06836"/>
    <w:rsid w:val="00E06A43"/>
    <w:rsid w:val="00E0712D"/>
    <w:rsid w:val="00E07802"/>
    <w:rsid w:val="00E078EA"/>
    <w:rsid w:val="00E07ED4"/>
    <w:rsid w:val="00E108D7"/>
    <w:rsid w:val="00E115BB"/>
    <w:rsid w:val="00E11A95"/>
    <w:rsid w:val="00E11ACA"/>
    <w:rsid w:val="00E11AF3"/>
    <w:rsid w:val="00E11EC2"/>
    <w:rsid w:val="00E11F36"/>
    <w:rsid w:val="00E12508"/>
    <w:rsid w:val="00E125BC"/>
    <w:rsid w:val="00E1280A"/>
    <w:rsid w:val="00E12865"/>
    <w:rsid w:val="00E12BF2"/>
    <w:rsid w:val="00E12D41"/>
    <w:rsid w:val="00E130AF"/>
    <w:rsid w:val="00E131E8"/>
    <w:rsid w:val="00E13222"/>
    <w:rsid w:val="00E13695"/>
    <w:rsid w:val="00E13767"/>
    <w:rsid w:val="00E137BD"/>
    <w:rsid w:val="00E13862"/>
    <w:rsid w:val="00E13B3F"/>
    <w:rsid w:val="00E13C47"/>
    <w:rsid w:val="00E14074"/>
    <w:rsid w:val="00E14590"/>
    <w:rsid w:val="00E14C8B"/>
    <w:rsid w:val="00E14E00"/>
    <w:rsid w:val="00E14FC4"/>
    <w:rsid w:val="00E15015"/>
    <w:rsid w:val="00E150D1"/>
    <w:rsid w:val="00E152C0"/>
    <w:rsid w:val="00E1566D"/>
    <w:rsid w:val="00E15929"/>
    <w:rsid w:val="00E159D9"/>
    <w:rsid w:val="00E15C1A"/>
    <w:rsid w:val="00E15DDD"/>
    <w:rsid w:val="00E164BF"/>
    <w:rsid w:val="00E1696D"/>
    <w:rsid w:val="00E16B73"/>
    <w:rsid w:val="00E16D63"/>
    <w:rsid w:val="00E16E45"/>
    <w:rsid w:val="00E17018"/>
    <w:rsid w:val="00E172E3"/>
    <w:rsid w:val="00E17441"/>
    <w:rsid w:val="00E1783F"/>
    <w:rsid w:val="00E17B97"/>
    <w:rsid w:val="00E17C1F"/>
    <w:rsid w:val="00E17CD8"/>
    <w:rsid w:val="00E17FF8"/>
    <w:rsid w:val="00E200C0"/>
    <w:rsid w:val="00E20281"/>
    <w:rsid w:val="00E203DB"/>
    <w:rsid w:val="00E2043F"/>
    <w:rsid w:val="00E20535"/>
    <w:rsid w:val="00E208E0"/>
    <w:rsid w:val="00E212B1"/>
    <w:rsid w:val="00E213E0"/>
    <w:rsid w:val="00E21435"/>
    <w:rsid w:val="00E2185F"/>
    <w:rsid w:val="00E21B9E"/>
    <w:rsid w:val="00E21C9F"/>
    <w:rsid w:val="00E21CA1"/>
    <w:rsid w:val="00E222D4"/>
    <w:rsid w:val="00E22389"/>
    <w:rsid w:val="00E22C33"/>
    <w:rsid w:val="00E23215"/>
    <w:rsid w:val="00E233FC"/>
    <w:rsid w:val="00E23405"/>
    <w:rsid w:val="00E2364C"/>
    <w:rsid w:val="00E239F7"/>
    <w:rsid w:val="00E23AA3"/>
    <w:rsid w:val="00E23B74"/>
    <w:rsid w:val="00E23C22"/>
    <w:rsid w:val="00E24569"/>
    <w:rsid w:val="00E251D8"/>
    <w:rsid w:val="00E25212"/>
    <w:rsid w:val="00E26469"/>
    <w:rsid w:val="00E2675B"/>
    <w:rsid w:val="00E26B0B"/>
    <w:rsid w:val="00E26B3C"/>
    <w:rsid w:val="00E26BBC"/>
    <w:rsid w:val="00E26EDB"/>
    <w:rsid w:val="00E270BE"/>
    <w:rsid w:val="00E27111"/>
    <w:rsid w:val="00E2769D"/>
    <w:rsid w:val="00E277E8"/>
    <w:rsid w:val="00E27D0E"/>
    <w:rsid w:val="00E3007C"/>
    <w:rsid w:val="00E30159"/>
    <w:rsid w:val="00E3047F"/>
    <w:rsid w:val="00E30B5B"/>
    <w:rsid w:val="00E30CE2"/>
    <w:rsid w:val="00E30F2F"/>
    <w:rsid w:val="00E3121F"/>
    <w:rsid w:val="00E3136D"/>
    <w:rsid w:val="00E319DF"/>
    <w:rsid w:val="00E32109"/>
    <w:rsid w:val="00E3232F"/>
    <w:rsid w:val="00E325E9"/>
    <w:rsid w:val="00E32AAD"/>
    <w:rsid w:val="00E33010"/>
    <w:rsid w:val="00E3347B"/>
    <w:rsid w:val="00E335D9"/>
    <w:rsid w:val="00E33747"/>
    <w:rsid w:val="00E337C3"/>
    <w:rsid w:val="00E339B1"/>
    <w:rsid w:val="00E33A20"/>
    <w:rsid w:val="00E33D9E"/>
    <w:rsid w:val="00E342F1"/>
    <w:rsid w:val="00E34464"/>
    <w:rsid w:val="00E34D48"/>
    <w:rsid w:val="00E34D57"/>
    <w:rsid w:val="00E34DAA"/>
    <w:rsid w:val="00E34F35"/>
    <w:rsid w:val="00E35665"/>
    <w:rsid w:val="00E35692"/>
    <w:rsid w:val="00E35F6D"/>
    <w:rsid w:val="00E36454"/>
    <w:rsid w:val="00E366A2"/>
    <w:rsid w:val="00E36B5F"/>
    <w:rsid w:val="00E36C42"/>
    <w:rsid w:val="00E36C69"/>
    <w:rsid w:val="00E375ED"/>
    <w:rsid w:val="00E37620"/>
    <w:rsid w:val="00E37662"/>
    <w:rsid w:val="00E37EA1"/>
    <w:rsid w:val="00E37EF5"/>
    <w:rsid w:val="00E37FD2"/>
    <w:rsid w:val="00E40436"/>
    <w:rsid w:val="00E406AC"/>
    <w:rsid w:val="00E407C7"/>
    <w:rsid w:val="00E40A47"/>
    <w:rsid w:val="00E41250"/>
    <w:rsid w:val="00E41AA4"/>
    <w:rsid w:val="00E41AF5"/>
    <w:rsid w:val="00E42256"/>
    <w:rsid w:val="00E4248C"/>
    <w:rsid w:val="00E425CD"/>
    <w:rsid w:val="00E42A73"/>
    <w:rsid w:val="00E42BEF"/>
    <w:rsid w:val="00E42CBE"/>
    <w:rsid w:val="00E42CDC"/>
    <w:rsid w:val="00E42DBF"/>
    <w:rsid w:val="00E4348F"/>
    <w:rsid w:val="00E43839"/>
    <w:rsid w:val="00E43B5B"/>
    <w:rsid w:val="00E43DC6"/>
    <w:rsid w:val="00E43E8A"/>
    <w:rsid w:val="00E4409F"/>
    <w:rsid w:val="00E448CE"/>
    <w:rsid w:val="00E44B75"/>
    <w:rsid w:val="00E44BB3"/>
    <w:rsid w:val="00E44C3A"/>
    <w:rsid w:val="00E44D89"/>
    <w:rsid w:val="00E45059"/>
    <w:rsid w:val="00E452FE"/>
    <w:rsid w:val="00E453BA"/>
    <w:rsid w:val="00E455E7"/>
    <w:rsid w:val="00E45F3F"/>
    <w:rsid w:val="00E4611F"/>
    <w:rsid w:val="00E4638A"/>
    <w:rsid w:val="00E469D2"/>
    <w:rsid w:val="00E4703E"/>
    <w:rsid w:val="00E4714A"/>
    <w:rsid w:val="00E47298"/>
    <w:rsid w:val="00E4796D"/>
    <w:rsid w:val="00E47A35"/>
    <w:rsid w:val="00E47FC8"/>
    <w:rsid w:val="00E506A9"/>
    <w:rsid w:val="00E507B5"/>
    <w:rsid w:val="00E507E5"/>
    <w:rsid w:val="00E5085F"/>
    <w:rsid w:val="00E50A45"/>
    <w:rsid w:val="00E50D4A"/>
    <w:rsid w:val="00E5105D"/>
    <w:rsid w:val="00E51183"/>
    <w:rsid w:val="00E511B6"/>
    <w:rsid w:val="00E51241"/>
    <w:rsid w:val="00E515EA"/>
    <w:rsid w:val="00E51765"/>
    <w:rsid w:val="00E520B4"/>
    <w:rsid w:val="00E5247C"/>
    <w:rsid w:val="00E52564"/>
    <w:rsid w:val="00E5271A"/>
    <w:rsid w:val="00E52A9C"/>
    <w:rsid w:val="00E52E48"/>
    <w:rsid w:val="00E52E76"/>
    <w:rsid w:val="00E5319E"/>
    <w:rsid w:val="00E5352C"/>
    <w:rsid w:val="00E53769"/>
    <w:rsid w:val="00E538B6"/>
    <w:rsid w:val="00E53BD5"/>
    <w:rsid w:val="00E53C26"/>
    <w:rsid w:val="00E53DD7"/>
    <w:rsid w:val="00E53E1B"/>
    <w:rsid w:val="00E54045"/>
    <w:rsid w:val="00E54B44"/>
    <w:rsid w:val="00E54C0A"/>
    <w:rsid w:val="00E54C78"/>
    <w:rsid w:val="00E54CA5"/>
    <w:rsid w:val="00E54E78"/>
    <w:rsid w:val="00E54E7C"/>
    <w:rsid w:val="00E54FB5"/>
    <w:rsid w:val="00E551C7"/>
    <w:rsid w:val="00E55A51"/>
    <w:rsid w:val="00E55DAA"/>
    <w:rsid w:val="00E55F16"/>
    <w:rsid w:val="00E55FDC"/>
    <w:rsid w:val="00E56285"/>
    <w:rsid w:val="00E562FB"/>
    <w:rsid w:val="00E568B5"/>
    <w:rsid w:val="00E56F93"/>
    <w:rsid w:val="00E572D8"/>
    <w:rsid w:val="00E572DE"/>
    <w:rsid w:val="00E57B75"/>
    <w:rsid w:val="00E5995B"/>
    <w:rsid w:val="00E6077B"/>
    <w:rsid w:val="00E60984"/>
    <w:rsid w:val="00E60B51"/>
    <w:rsid w:val="00E60B92"/>
    <w:rsid w:val="00E60F7A"/>
    <w:rsid w:val="00E61DF8"/>
    <w:rsid w:val="00E61FF4"/>
    <w:rsid w:val="00E6204B"/>
    <w:rsid w:val="00E6220C"/>
    <w:rsid w:val="00E62523"/>
    <w:rsid w:val="00E629F0"/>
    <w:rsid w:val="00E62AE5"/>
    <w:rsid w:val="00E62C7B"/>
    <w:rsid w:val="00E62D04"/>
    <w:rsid w:val="00E62FB8"/>
    <w:rsid w:val="00E6312B"/>
    <w:rsid w:val="00E632E2"/>
    <w:rsid w:val="00E63370"/>
    <w:rsid w:val="00E6341B"/>
    <w:rsid w:val="00E6371C"/>
    <w:rsid w:val="00E63CE9"/>
    <w:rsid w:val="00E6418F"/>
    <w:rsid w:val="00E64388"/>
    <w:rsid w:val="00E64536"/>
    <w:rsid w:val="00E6462A"/>
    <w:rsid w:val="00E65191"/>
    <w:rsid w:val="00E651D0"/>
    <w:rsid w:val="00E6522D"/>
    <w:rsid w:val="00E6534D"/>
    <w:rsid w:val="00E6558C"/>
    <w:rsid w:val="00E6571F"/>
    <w:rsid w:val="00E6593C"/>
    <w:rsid w:val="00E65E42"/>
    <w:rsid w:val="00E6601D"/>
    <w:rsid w:val="00E6621C"/>
    <w:rsid w:val="00E66303"/>
    <w:rsid w:val="00E6640D"/>
    <w:rsid w:val="00E665F2"/>
    <w:rsid w:val="00E666F5"/>
    <w:rsid w:val="00E66E16"/>
    <w:rsid w:val="00E66E97"/>
    <w:rsid w:val="00E66F36"/>
    <w:rsid w:val="00E6733D"/>
    <w:rsid w:val="00E674BF"/>
    <w:rsid w:val="00E6767A"/>
    <w:rsid w:val="00E6776E"/>
    <w:rsid w:val="00E701BD"/>
    <w:rsid w:val="00E7024F"/>
    <w:rsid w:val="00E70534"/>
    <w:rsid w:val="00E7056D"/>
    <w:rsid w:val="00E70671"/>
    <w:rsid w:val="00E706F9"/>
    <w:rsid w:val="00E707FA"/>
    <w:rsid w:val="00E70B36"/>
    <w:rsid w:val="00E70E48"/>
    <w:rsid w:val="00E70FD7"/>
    <w:rsid w:val="00E71021"/>
    <w:rsid w:val="00E714F3"/>
    <w:rsid w:val="00E715FA"/>
    <w:rsid w:val="00E71AA5"/>
    <w:rsid w:val="00E71C9A"/>
    <w:rsid w:val="00E71FAE"/>
    <w:rsid w:val="00E720ED"/>
    <w:rsid w:val="00E72229"/>
    <w:rsid w:val="00E728BE"/>
    <w:rsid w:val="00E72E0C"/>
    <w:rsid w:val="00E72F08"/>
    <w:rsid w:val="00E73230"/>
    <w:rsid w:val="00E7355C"/>
    <w:rsid w:val="00E73636"/>
    <w:rsid w:val="00E739AA"/>
    <w:rsid w:val="00E73AB3"/>
    <w:rsid w:val="00E740B9"/>
    <w:rsid w:val="00E741DF"/>
    <w:rsid w:val="00E74BB4"/>
    <w:rsid w:val="00E750C8"/>
    <w:rsid w:val="00E7530E"/>
    <w:rsid w:val="00E75414"/>
    <w:rsid w:val="00E75470"/>
    <w:rsid w:val="00E75813"/>
    <w:rsid w:val="00E7583F"/>
    <w:rsid w:val="00E75C70"/>
    <w:rsid w:val="00E760C3"/>
    <w:rsid w:val="00E762BC"/>
    <w:rsid w:val="00E7647D"/>
    <w:rsid w:val="00E765C1"/>
    <w:rsid w:val="00E76731"/>
    <w:rsid w:val="00E76ABE"/>
    <w:rsid w:val="00E76E90"/>
    <w:rsid w:val="00E77105"/>
    <w:rsid w:val="00E7731A"/>
    <w:rsid w:val="00E77499"/>
    <w:rsid w:val="00E774B0"/>
    <w:rsid w:val="00E7757B"/>
    <w:rsid w:val="00E7772F"/>
    <w:rsid w:val="00E778B5"/>
    <w:rsid w:val="00E77EA8"/>
    <w:rsid w:val="00E8029F"/>
    <w:rsid w:val="00E80366"/>
    <w:rsid w:val="00E806A3"/>
    <w:rsid w:val="00E80814"/>
    <w:rsid w:val="00E80822"/>
    <w:rsid w:val="00E8088D"/>
    <w:rsid w:val="00E808E7"/>
    <w:rsid w:val="00E80920"/>
    <w:rsid w:val="00E80CEE"/>
    <w:rsid w:val="00E81097"/>
    <w:rsid w:val="00E813A0"/>
    <w:rsid w:val="00E81475"/>
    <w:rsid w:val="00E81577"/>
    <w:rsid w:val="00E815F9"/>
    <w:rsid w:val="00E81816"/>
    <w:rsid w:val="00E81AA7"/>
    <w:rsid w:val="00E81EAE"/>
    <w:rsid w:val="00E822AB"/>
    <w:rsid w:val="00E82851"/>
    <w:rsid w:val="00E82FD9"/>
    <w:rsid w:val="00E83077"/>
    <w:rsid w:val="00E83114"/>
    <w:rsid w:val="00E83298"/>
    <w:rsid w:val="00E832DA"/>
    <w:rsid w:val="00E835D5"/>
    <w:rsid w:val="00E83797"/>
    <w:rsid w:val="00E838EA"/>
    <w:rsid w:val="00E83B68"/>
    <w:rsid w:val="00E83C01"/>
    <w:rsid w:val="00E83C11"/>
    <w:rsid w:val="00E83D63"/>
    <w:rsid w:val="00E83F6D"/>
    <w:rsid w:val="00E8425F"/>
    <w:rsid w:val="00E842E6"/>
    <w:rsid w:val="00E84527"/>
    <w:rsid w:val="00E849F5"/>
    <w:rsid w:val="00E85216"/>
    <w:rsid w:val="00E85224"/>
    <w:rsid w:val="00E85581"/>
    <w:rsid w:val="00E85633"/>
    <w:rsid w:val="00E85795"/>
    <w:rsid w:val="00E858B8"/>
    <w:rsid w:val="00E85DAE"/>
    <w:rsid w:val="00E85E71"/>
    <w:rsid w:val="00E85F65"/>
    <w:rsid w:val="00E86163"/>
    <w:rsid w:val="00E86815"/>
    <w:rsid w:val="00E86D4A"/>
    <w:rsid w:val="00E87512"/>
    <w:rsid w:val="00E87735"/>
    <w:rsid w:val="00E8778B"/>
    <w:rsid w:val="00E879CD"/>
    <w:rsid w:val="00E90A38"/>
    <w:rsid w:val="00E90D30"/>
    <w:rsid w:val="00E913F8"/>
    <w:rsid w:val="00E91509"/>
    <w:rsid w:val="00E91C93"/>
    <w:rsid w:val="00E920ED"/>
    <w:rsid w:val="00E920F8"/>
    <w:rsid w:val="00E921B6"/>
    <w:rsid w:val="00E92614"/>
    <w:rsid w:val="00E9268C"/>
    <w:rsid w:val="00E9294F"/>
    <w:rsid w:val="00E92D4A"/>
    <w:rsid w:val="00E92EEC"/>
    <w:rsid w:val="00E92F5F"/>
    <w:rsid w:val="00E9331B"/>
    <w:rsid w:val="00E934AE"/>
    <w:rsid w:val="00E9351D"/>
    <w:rsid w:val="00E93877"/>
    <w:rsid w:val="00E93AEE"/>
    <w:rsid w:val="00E93C55"/>
    <w:rsid w:val="00E94B70"/>
    <w:rsid w:val="00E94BE0"/>
    <w:rsid w:val="00E951D7"/>
    <w:rsid w:val="00E955F3"/>
    <w:rsid w:val="00E95CCF"/>
    <w:rsid w:val="00E95CDD"/>
    <w:rsid w:val="00E9605D"/>
    <w:rsid w:val="00E96099"/>
    <w:rsid w:val="00E96605"/>
    <w:rsid w:val="00E96728"/>
    <w:rsid w:val="00E969C3"/>
    <w:rsid w:val="00E96B04"/>
    <w:rsid w:val="00E97216"/>
    <w:rsid w:val="00E9762B"/>
    <w:rsid w:val="00E9771E"/>
    <w:rsid w:val="00E9794E"/>
    <w:rsid w:val="00E97ACD"/>
    <w:rsid w:val="00EA0144"/>
    <w:rsid w:val="00EA03D0"/>
    <w:rsid w:val="00EA0491"/>
    <w:rsid w:val="00EA064D"/>
    <w:rsid w:val="00EA087E"/>
    <w:rsid w:val="00EA091D"/>
    <w:rsid w:val="00EA0C06"/>
    <w:rsid w:val="00EA1092"/>
    <w:rsid w:val="00EA1170"/>
    <w:rsid w:val="00EA122F"/>
    <w:rsid w:val="00EA1832"/>
    <w:rsid w:val="00EA19E1"/>
    <w:rsid w:val="00EA1AD9"/>
    <w:rsid w:val="00EA1D8F"/>
    <w:rsid w:val="00EA224A"/>
    <w:rsid w:val="00EA23C1"/>
    <w:rsid w:val="00EA2C84"/>
    <w:rsid w:val="00EA2C92"/>
    <w:rsid w:val="00EA2D27"/>
    <w:rsid w:val="00EA3004"/>
    <w:rsid w:val="00EA31D1"/>
    <w:rsid w:val="00EA3472"/>
    <w:rsid w:val="00EA3A65"/>
    <w:rsid w:val="00EA3A9E"/>
    <w:rsid w:val="00EA3E93"/>
    <w:rsid w:val="00EA3F4C"/>
    <w:rsid w:val="00EA3FDA"/>
    <w:rsid w:val="00EA43DC"/>
    <w:rsid w:val="00EA46DD"/>
    <w:rsid w:val="00EA46E4"/>
    <w:rsid w:val="00EA4B9E"/>
    <w:rsid w:val="00EA4D73"/>
    <w:rsid w:val="00EA52F5"/>
    <w:rsid w:val="00EA5877"/>
    <w:rsid w:val="00EA5945"/>
    <w:rsid w:val="00EA5988"/>
    <w:rsid w:val="00EA6117"/>
    <w:rsid w:val="00EA6342"/>
    <w:rsid w:val="00EA6631"/>
    <w:rsid w:val="00EA6C95"/>
    <w:rsid w:val="00EA6EDA"/>
    <w:rsid w:val="00EA75E1"/>
    <w:rsid w:val="00EA7943"/>
    <w:rsid w:val="00EA7B30"/>
    <w:rsid w:val="00EA7D14"/>
    <w:rsid w:val="00EA7E9A"/>
    <w:rsid w:val="00EA7F6A"/>
    <w:rsid w:val="00EB042F"/>
    <w:rsid w:val="00EB0600"/>
    <w:rsid w:val="00EB096B"/>
    <w:rsid w:val="00EB099E"/>
    <w:rsid w:val="00EB0DE0"/>
    <w:rsid w:val="00EB0EB9"/>
    <w:rsid w:val="00EB0EC6"/>
    <w:rsid w:val="00EB11F8"/>
    <w:rsid w:val="00EB122F"/>
    <w:rsid w:val="00EB1A5F"/>
    <w:rsid w:val="00EB1F9F"/>
    <w:rsid w:val="00EB222D"/>
    <w:rsid w:val="00EB2330"/>
    <w:rsid w:val="00EB2629"/>
    <w:rsid w:val="00EB2A4F"/>
    <w:rsid w:val="00EB3444"/>
    <w:rsid w:val="00EB3470"/>
    <w:rsid w:val="00EB3797"/>
    <w:rsid w:val="00EB38EE"/>
    <w:rsid w:val="00EB3B6A"/>
    <w:rsid w:val="00EB3C09"/>
    <w:rsid w:val="00EB3DD0"/>
    <w:rsid w:val="00EB403B"/>
    <w:rsid w:val="00EB4743"/>
    <w:rsid w:val="00EB49A8"/>
    <w:rsid w:val="00EB4FE4"/>
    <w:rsid w:val="00EB51B4"/>
    <w:rsid w:val="00EB5E87"/>
    <w:rsid w:val="00EB6045"/>
    <w:rsid w:val="00EB648C"/>
    <w:rsid w:val="00EB6598"/>
    <w:rsid w:val="00EB6C82"/>
    <w:rsid w:val="00EB6D03"/>
    <w:rsid w:val="00EB6DD6"/>
    <w:rsid w:val="00EB7880"/>
    <w:rsid w:val="00EB7B65"/>
    <w:rsid w:val="00EB7CD3"/>
    <w:rsid w:val="00EB7E0D"/>
    <w:rsid w:val="00EC00D2"/>
    <w:rsid w:val="00EC0F47"/>
    <w:rsid w:val="00EC129E"/>
    <w:rsid w:val="00EC1636"/>
    <w:rsid w:val="00EC1953"/>
    <w:rsid w:val="00EC1AB4"/>
    <w:rsid w:val="00EC1E7B"/>
    <w:rsid w:val="00EC2BDA"/>
    <w:rsid w:val="00EC3105"/>
    <w:rsid w:val="00EC34BC"/>
    <w:rsid w:val="00EC3B3D"/>
    <w:rsid w:val="00EC3BEC"/>
    <w:rsid w:val="00EC459B"/>
    <w:rsid w:val="00EC4782"/>
    <w:rsid w:val="00EC478F"/>
    <w:rsid w:val="00EC4A4E"/>
    <w:rsid w:val="00EC521C"/>
    <w:rsid w:val="00EC5444"/>
    <w:rsid w:val="00EC548B"/>
    <w:rsid w:val="00EC54FC"/>
    <w:rsid w:val="00EC568A"/>
    <w:rsid w:val="00EC5B73"/>
    <w:rsid w:val="00EC5BEF"/>
    <w:rsid w:val="00EC5CC3"/>
    <w:rsid w:val="00EC5D3D"/>
    <w:rsid w:val="00EC5D83"/>
    <w:rsid w:val="00EC5F61"/>
    <w:rsid w:val="00EC605A"/>
    <w:rsid w:val="00EC6258"/>
    <w:rsid w:val="00EC62A8"/>
    <w:rsid w:val="00EC6545"/>
    <w:rsid w:val="00EC669E"/>
    <w:rsid w:val="00EC6D4A"/>
    <w:rsid w:val="00EC6D53"/>
    <w:rsid w:val="00EC75E3"/>
    <w:rsid w:val="00EC760A"/>
    <w:rsid w:val="00EC779C"/>
    <w:rsid w:val="00EC7C73"/>
    <w:rsid w:val="00ED0A7A"/>
    <w:rsid w:val="00ED0D63"/>
    <w:rsid w:val="00ED121C"/>
    <w:rsid w:val="00ED15B0"/>
    <w:rsid w:val="00ED1ADB"/>
    <w:rsid w:val="00ED228B"/>
    <w:rsid w:val="00ED26A3"/>
    <w:rsid w:val="00ED290C"/>
    <w:rsid w:val="00ED2AD3"/>
    <w:rsid w:val="00ED352B"/>
    <w:rsid w:val="00ED3D51"/>
    <w:rsid w:val="00ED3EA4"/>
    <w:rsid w:val="00ED46A7"/>
    <w:rsid w:val="00ED4AA4"/>
    <w:rsid w:val="00ED4C13"/>
    <w:rsid w:val="00ED4DF1"/>
    <w:rsid w:val="00ED5073"/>
    <w:rsid w:val="00ED5234"/>
    <w:rsid w:val="00ED543E"/>
    <w:rsid w:val="00ED5701"/>
    <w:rsid w:val="00ED5F7D"/>
    <w:rsid w:val="00ED6639"/>
    <w:rsid w:val="00ED698E"/>
    <w:rsid w:val="00ED6F3D"/>
    <w:rsid w:val="00ED732C"/>
    <w:rsid w:val="00ED73C9"/>
    <w:rsid w:val="00ED789B"/>
    <w:rsid w:val="00ED7AE2"/>
    <w:rsid w:val="00EE0D13"/>
    <w:rsid w:val="00EE12B5"/>
    <w:rsid w:val="00EE154A"/>
    <w:rsid w:val="00EE1553"/>
    <w:rsid w:val="00EE1957"/>
    <w:rsid w:val="00EE1DBA"/>
    <w:rsid w:val="00EE1F00"/>
    <w:rsid w:val="00EE2539"/>
    <w:rsid w:val="00EE291B"/>
    <w:rsid w:val="00EE2B64"/>
    <w:rsid w:val="00EE2C2D"/>
    <w:rsid w:val="00EE2E39"/>
    <w:rsid w:val="00EE2FC6"/>
    <w:rsid w:val="00EE2FF6"/>
    <w:rsid w:val="00EE35BB"/>
    <w:rsid w:val="00EE36E4"/>
    <w:rsid w:val="00EE3765"/>
    <w:rsid w:val="00EE4128"/>
    <w:rsid w:val="00EE4AC2"/>
    <w:rsid w:val="00EE4BA9"/>
    <w:rsid w:val="00EE4EC5"/>
    <w:rsid w:val="00EE5525"/>
    <w:rsid w:val="00EE5890"/>
    <w:rsid w:val="00EE5A38"/>
    <w:rsid w:val="00EE5C99"/>
    <w:rsid w:val="00EE5D50"/>
    <w:rsid w:val="00EE656B"/>
    <w:rsid w:val="00EE6AD7"/>
    <w:rsid w:val="00EE7482"/>
    <w:rsid w:val="00EE780A"/>
    <w:rsid w:val="00EE7A9D"/>
    <w:rsid w:val="00EE7DA1"/>
    <w:rsid w:val="00EE7EAB"/>
    <w:rsid w:val="00EF08A0"/>
    <w:rsid w:val="00EF0CDB"/>
    <w:rsid w:val="00EF0E17"/>
    <w:rsid w:val="00EF11CC"/>
    <w:rsid w:val="00EF141F"/>
    <w:rsid w:val="00EF17CC"/>
    <w:rsid w:val="00EF1AAB"/>
    <w:rsid w:val="00EF1C78"/>
    <w:rsid w:val="00EF1DCB"/>
    <w:rsid w:val="00EF1E6E"/>
    <w:rsid w:val="00EF215E"/>
    <w:rsid w:val="00EF2604"/>
    <w:rsid w:val="00EF260B"/>
    <w:rsid w:val="00EF2640"/>
    <w:rsid w:val="00EF2753"/>
    <w:rsid w:val="00EF283C"/>
    <w:rsid w:val="00EF28F9"/>
    <w:rsid w:val="00EF2B52"/>
    <w:rsid w:val="00EF2C5E"/>
    <w:rsid w:val="00EF3233"/>
    <w:rsid w:val="00EF34AB"/>
    <w:rsid w:val="00EF3540"/>
    <w:rsid w:val="00EF3872"/>
    <w:rsid w:val="00EF38C1"/>
    <w:rsid w:val="00EF39D1"/>
    <w:rsid w:val="00EF3DA0"/>
    <w:rsid w:val="00EF421F"/>
    <w:rsid w:val="00EF42B2"/>
    <w:rsid w:val="00EF44E5"/>
    <w:rsid w:val="00EF46C9"/>
    <w:rsid w:val="00EF4CF4"/>
    <w:rsid w:val="00EF5534"/>
    <w:rsid w:val="00EF5862"/>
    <w:rsid w:val="00EF586D"/>
    <w:rsid w:val="00EF5939"/>
    <w:rsid w:val="00EF6446"/>
    <w:rsid w:val="00EF6636"/>
    <w:rsid w:val="00EF723F"/>
    <w:rsid w:val="00EF72A7"/>
    <w:rsid w:val="00EF7334"/>
    <w:rsid w:val="00EF76E0"/>
    <w:rsid w:val="00EF7773"/>
    <w:rsid w:val="00EF7C80"/>
    <w:rsid w:val="00EF7D36"/>
    <w:rsid w:val="00EF7DE9"/>
    <w:rsid w:val="00EF7EA3"/>
    <w:rsid w:val="00F004FC"/>
    <w:rsid w:val="00F008CD"/>
    <w:rsid w:val="00F00CA9"/>
    <w:rsid w:val="00F01097"/>
    <w:rsid w:val="00F018E5"/>
    <w:rsid w:val="00F01BA6"/>
    <w:rsid w:val="00F02359"/>
    <w:rsid w:val="00F02727"/>
    <w:rsid w:val="00F0276E"/>
    <w:rsid w:val="00F02968"/>
    <w:rsid w:val="00F02B71"/>
    <w:rsid w:val="00F02BDE"/>
    <w:rsid w:val="00F030DD"/>
    <w:rsid w:val="00F0323F"/>
    <w:rsid w:val="00F035C5"/>
    <w:rsid w:val="00F04632"/>
    <w:rsid w:val="00F04E13"/>
    <w:rsid w:val="00F054DC"/>
    <w:rsid w:val="00F056B7"/>
    <w:rsid w:val="00F059F6"/>
    <w:rsid w:val="00F05A4C"/>
    <w:rsid w:val="00F05C81"/>
    <w:rsid w:val="00F05D77"/>
    <w:rsid w:val="00F05E08"/>
    <w:rsid w:val="00F060D1"/>
    <w:rsid w:val="00F0626D"/>
    <w:rsid w:val="00F06559"/>
    <w:rsid w:val="00F06C6A"/>
    <w:rsid w:val="00F06C81"/>
    <w:rsid w:val="00F06FBA"/>
    <w:rsid w:val="00F0720B"/>
    <w:rsid w:val="00F074DA"/>
    <w:rsid w:val="00F07624"/>
    <w:rsid w:val="00F07CAA"/>
    <w:rsid w:val="00F1018C"/>
    <w:rsid w:val="00F101B8"/>
    <w:rsid w:val="00F1079E"/>
    <w:rsid w:val="00F108AF"/>
    <w:rsid w:val="00F10905"/>
    <w:rsid w:val="00F109B7"/>
    <w:rsid w:val="00F10A56"/>
    <w:rsid w:val="00F113BC"/>
    <w:rsid w:val="00F119A4"/>
    <w:rsid w:val="00F119A7"/>
    <w:rsid w:val="00F11CB3"/>
    <w:rsid w:val="00F1305C"/>
    <w:rsid w:val="00F1357D"/>
    <w:rsid w:val="00F1366C"/>
    <w:rsid w:val="00F13E9C"/>
    <w:rsid w:val="00F13ED2"/>
    <w:rsid w:val="00F14965"/>
    <w:rsid w:val="00F14F42"/>
    <w:rsid w:val="00F15023"/>
    <w:rsid w:val="00F151C4"/>
    <w:rsid w:val="00F154FD"/>
    <w:rsid w:val="00F15795"/>
    <w:rsid w:val="00F15924"/>
    <w:rsid w:val="00F159B6"/>
    <w:rsid w:val="00F163FE"/>
    <w:rsid w:val="00F167F7"/>
    <w:rsid w:val="00F169AA"/>
    <w:rsid w:val="00F16AF5"/>
    <w:rsid w:val="00F170E6"/>
    <w:rsid w:val="00F17AF2"/>
    <w:rsid w:val="00F17B5E"/>
    <w:rsid w:val="00F17DFF"/>
    <w:rsid w:val="00F20048"/>
    <w:rsid w:val="00F203A4"/>
    <w:rsid w:val="00F2069F"/>
    <w:rsid w:val="00F20C41"/>
    <w:rsid w:val="00F20C95"/>
    <w:rsid w:val="00F20F2B"/>
    <w:rsid w:val="00F20F48"/>
    <w:rsid w:val="00F21663"/>
    <w:rsid w:val="00F22452"/>
    <w:rsid w:val="00F2247B"/>
    <w:rsid w:val="00F227A6"/>
    <w:rsid w:val="00F2294E"/>
    <w:rsid w:val="00F2297F"/>
    <w:rsid w:val="00F22CD7"/>
    <w:rsid w:val="00F22E62"/>
    <w:rsid w:val="00F22FF6"/>
    <w:rsid w:val="00F231D2"/>
    <w:rsid w:val="00F23510"/>
    <w:rsid w:val="00F2395B"/>
    <w:rsid w:val="00F23987"/>
    <w:rsid w:val="00F23B2C"/>
    <w:rsid w:val="00F23ED9"/>
    <w:rsid w:val="00F23F4D"/>
    <w:rsid w:val="00F24338"/>
    <w:rsid w:val="00F244CD"/>
    <w:rsid w:val="00F24DE4"/>
    <w:rsid w:val="00F24E39"/>
    <w:rsid w:val="00F25001"/>
    <w:rsid w:val="00F2500A"/>
    <w:rsid w:val="00F25141"/>
    <w:rsid w:val="00F253BB"/>
    <w:rsid w:val="00F2549C"/>
    <w:rsid w:val="00F257A0"/>
    <w:rsid w:val="00F257A8"/>
    <w:rsid w:val="00F257BE"/>
    <w:rsid w:val="00F26126"/>
    <w:rsid w:val="00F26AA0"/>
    <w:rsid w:val="00F26E3E"/>
    <w:rsid w:val="00F26F70"/>
    <w:rsid w:val="00F270A3"/>
    <w:rsid w:val="00F2724B"/>
    <w:rsid w:val="00F27A3E"/>
    <w:rsid w:val="00F27A9A"/>
    <w:rsid w:val="00F27B95"/>
    <w:rsid w:val="00F30C47"/>
    <w:rsid w:val="00F30D4B"/>
    <w:rsid w:val="00F30DDE"/>
    <w:rsid w:val="00F31157"/>
    <w:rsid w:val="00F312B2"/>
    <w:rsid w:val="00F313D3"/>
    <w:rsid w:val="00F314A9"/>
    <w:rsid w:val="00F31674"/>
    <w:rsid w:val="00F32840"/>
    <w:rsid w:val="00F3295A"/>
    <w:rsid w:val="00F32FF6"/>
    <w:rsid w:val="00F3336A"/>
    <w:rsid w:val="00F3385D"/>
    <w:rsid w:val="00F33A39"/>
    <w:rsid w:val="00F33BFA"/>
    <w:rsid w:val="00F33D47"/>
    <w:rsid w:val="00F33E9D"/>
    <w:rsid w:val="00F33EE6"/>
    <w:rsid w:val="00F345FF"/>
    <w:rsid w:val="00F34901"/>
    <w:rsid w:val="00F34E12"/>
    <w:rsid w:val="00F34ED2"/>
    <w:rsid w:val="00F34F29"/>
    <w:rsid w:val="00F35280"/>
    <w:rsid w:val="00F35487"/>
    <w:rsid w:val="00F35511"/>
    <w:rsid w:val="00F35594"/>
    <w:rsid w:val="00F35BBC"/>
    <w:rsid w:val="00F35D5C"/>
    <w:rsid w:val="00F35E2C"/>
    <w:rsid w:val="00F35F7D"/>
    <w:rsid w:val="00F3664E"/>
    <w:rsid w:val="00F36B15"/>
    <w:rsid w:val="00F36C6E"/>
    <w:rsid w:val="00F36C84"/>
    <w:rsid w:val="00F3730D"/>
    <w:rsid w:val="00F37F64"/>
    <w:rsid w:val="00F400FB"/>
    <w:rsid w:val="00F4010F"/>
    <w:rsid w:val="00F40231"/>
    <w:rsid w:val="00F403B1"/>
    <w:rsid w:val="00F40428"/>
    <w:rsid w:val="00F407CC"/>
    <w:rsid w:val="00F41BEE"/>
    <w:rsid w:val="00F41F0D"/>
    <w:rsid w:val="00F41F4D"/>
    <w:rsid w:val="00F4227F"/>
    <w:rsid w:val="00F4240A"/>
    <w:rsid w:val="00F425D5"/>
    <w:rsid w:val="00F42E1B"/>
    <w:rsid w:val="00F439B1"/>
    <w:rsid w:val="00F43ACC"/>
    <w:rsid w:val="00F442A2"/>
    <w:rsid w:val="00F442F1"/>
    <w:rsid w:val="00F44780"/>
    <w:rsid w:val="00F44E60"/>
    <w:rsid w:val="00F44EA5"/>
    <w:rsid w:val="00F45172"/>
    <w:rsid w:val="00F455A9"/>
    <w:rsid w:val="00F45732"/>
    <w:rsid w:val="00F45746"/>
    <w:rsid w:val="00F45DA8"/>
    <w:rsid w:val="00F46BDC"/>
    <w:rsid w:val="00F46F2E"/>
    <w:rsid w:val="00F47857"/>
    <w:rsid w:val="00F47E1D"/>
    <w:rsid w:val="00F47F31"/>
    <w:rsid w:val="00F511A1"/>
    <w:rsid w:val="00F5131D"/>
    <w:rsid w:val="00F5132D"/>
    <w:rsid w:val="00F51CAF"/>
    <w:rsid w:val="00F51E44"/>
    <w:rsid w:val="00F522B0"/>
    <w:rsid w:val="00F5242B"/>
    <w:rsid w:val="00F524F8"/>
    <w:rsid w:val="00F526B3"/>
    <w:rsid w:val="00F527C3"/>
    <w:rsid w:val="00F52B36"/>
    <w:rsid w:val="00F531E2"/>
    <w:rsid w:val="00F542E6"/>
    <w:rsid w:val="00F544B6"/>
    <w:rsid w:val="00F54545"/>
    <w:rsid w:val="00F550B5"/>
    <w:rsid w:val="00F55472"/>
    <w:rsid w:val="00F5547C"/>
    <w:rsid w:val="00F55613"/>
    <w:rsid w:val="00F559C0"/>
    <w:rsid w:val="00F55B74"/>
    <w:rsid w:val="00F55C80"/>
    <w:rsid w:val="00F55D18"/>
    <w:rsid w:val="00F55D50"/>
    <w:rsid w:val="00F55DE5"/>
    <w:rsid w:val="00F5636D"/>
    <w:rsid w:val="00F56393"/>
    <w:rsid w:val="00F56410"/>
    <w:rsid w:val="00F5685F"/>
    <w:rsid w:val="00F569CC"/>
    <w:rsid w:val="00F56D59"/>
    <w:rsid w:val="00F571D3"/>
    <w:rsid w:val="00F57473"/>
    <w:rsid w:val="00F57D82"/>
    <w:rsid w:val="00F605EA"/>
    <w:rsid w:val="00F60C28"/>
    <w:rsid w:val="00F615FE"/>
    <w:rsid w:val="00F61670"/>
    <w:rsid w:val="00F616B8"/>
    <w:rsid w:val="00F61738"/>
    <w:rsid w:val="00F61901"/>
    <w:rsid w:val="00F61942"/>
    <w:rsid w:val="00F61EA5"/>
    <w:rsid w:val="00F62539"/>
    <w:rsid w:val="00F632DA"/>
    <w:rsid w:val="00F633B9"/>
    <w:rsid w:val="00F6343B"/>
    <w:rsid w:val="00F6427C"/>
    <w:rsid w:val="00F64535"/>
    <w:rsid w:val="00F64E04"/>
    <w:rsid w:val="00F64E4A"/>
    <w:rsid w:val="00F651E9"/>
    <w:rsid w:val="00F65B2B"/>
    <w:rsid w:val="00F66415"/>
    <w:rsid w:val="00F6679C"/>
    <w:rsid w:val="00F668E0"/>
    <w:rsid w:val="00F670BA"/>
    <w:rsid w:val="00F67848"/>
    <w:rsid w:val="00F67864"/>
    <w:rsid w:val="00F67C42"/>
    <w:rsid w:val="00F706F8"/>
    <w:rsid w:val="00F7085A"/>
    <w:rsid w:val="00F7096D"/>
    <w:rsid w:val="00F70B36"/>
    <w:rsid w:val="00F70D78"/>
    <w:rsid w:val="00F71078"/>
    <w:rsid w:val="00F716A3"/>
    <w:rsid w:val="00F71B50"/>
    <w:rsid w:val="00F71E44"/>
    <w:rsid w:val="00F71F3B"/>
    <w:rsid w:val="00F72720"/>
    <w:rsid w:val="00F72CD7"/>
    <w:rsid w:val="00F72E70"/>
    <w:rsid w:val="00F72F37"/>
    <w:rsid w:val="00F731BB"/>
    <w:rsid w:val="00F73587"/>
    <w:rsid w:val="00F7370B"/>
    <w:rsid w:val="00F7387C"/>
    <w:rsid w:val="00F739DF"/>
    <w:rsid w:val="00F73D59"/>
    <w:rsid w:val="00F740AB"/>
    <w:rsid w:val="00F740F8"/>
    <w:rsid w:val="00F742FD"/>
    <w:rsid w:val="00F74359"/>
    <w:rsid w:val="00F743BA"/>
    <w:rsid w:val="00F744E3"/>
    <w:rsid w:val="00F746C9"/>
    <w:rsid w:val="00F747B9"/>
    <w:rsid w:val="00F748FC"/>
    <w:rsid w:val="00F74B22"/>
    <w:rsid w:val="00F74FF4"/>
    <w:rsid w:val="00F75007"/>
    <w:rsid w:val="00F751E0"/>
    <w:rsid w:val="00F756A2"/>
    <w:rsid w:val="00F7603F"/>
    <w:rsid w:val="00F7611D"/>
    <w:rsid w:val="00F76220"/>
    <w:rsid w:val="00F76542"/>
    <w:rsid w:val="00F76694"/>
    <w:rsid w:val="00F769AF"/>
    <w:rsid w:val="00F76D25"/>
    <w:rsid w:val="00F77081"/>
    <w:rsid w:val="00F77492"/>
    <w:rsid w:val="00F77725"/>
    <w:rsid w:val="00F77892"/>
    <w:rsid w:val="00F7791F"/>
    <w:rsid w:val="00F77F8C"/>
    <w:rsid w:val="00F80940"/>
    <w:rsid w:val="00F80F73"/>
    <w:rsid w:val="00F8101C"/>
    <w:rsid w:val="00F8104F"/>
    <w:rsid w:val="00F81228"/>
    <w:rsid w:val="00F822AF"/>
    <w:rsid w:val="00F822BF"/>
    <w:rsid w:val="00F8245B"/>
    <w:rsid w:val="00F82592"/>
    <w:rsid w:val="00F826BF"/>
    <w:rsid w:val="00F82B41"/>
    <w:rsid w:val="00F83252"/>
    <w:rsid w:val="00F833A2"/>
    <w:rsid w:val="00F83504"/>
    <w:rsid w:val="00F8412B"/>
    <w:rsid w:val="00F843D9"/>
    <w:rsid w:val="00F844F1"/>
    <w:rsid w:val="00F8455A"/>
    <w:rsid w:val="00F8485E"/>
    <w:rsid w:val="00F84A1C"/>
    <w:rsid w:val="00F85036"/>
    <w:rsid w:val="00F8544E"/>
    <w:rsid w:val="00F8548F"/>
    <w:rsid w:val="00F858A3"/>
    <w:rsid w:val="00F85D26"/>
    <w:rsid w:val="00F8623D"/>
    <w:rsid w:val="00F86596"/>
    <w:rsid w:val="00F86858"/>
    <w:rsid w:val="00F86860"/>
    <w:rsid w:val="00F86B42"/>
    <w:rsid w:val="00F86E7D"/>
    <w:rsid w:val="00F87831"/>
    <w:rsid w:val="00F87BEE"/>
    <w:rsid w:val="00F90816"/>
    <w:rsid w:val="00F908C3"/>
    <w:rsid w:val="00F90A20"/>
    <w:rsid w:val="00F91960"/>
    <w:rsid w:val="00F919B4"/>
    <w:rsid w:val="00F91D92"/>
    <w:rsid w:val="00F9217B"/>
    <w:rsid w:val="00F924AE"/>
    <w:rsid w:val="00F9287F"/>
    <w:rsid w:val="00F92C71"/>
    <w:rsid w:val="00F92EC1"/>
    <w:rsid w:val="00F92FC5"/>
    <w:rsid w:val="00F93182"/>
    <w:rsid w:val="00F93558"/>
    <w:rsid w:val="00F9360B"/>
    <w:rsid w:val="00F93985"/>
    <w:rsid w:val="00F93A93"/>
    <w:rsid w:val="00F93F14"/>
    <w:rsid w:val="00F946D0"/>
    <w:rsid w:val="00F9492F"/>
    <w:rsid w:val="00F94A31"/>
    <w:rsid w:val="00F94C0D"/>
    <w:rsid w:val="00F94D6D"/>
    <w:rsid w:val="00F954F6"/>
    <w:rsid w:val="00F95870"/>
    <w:rsid w:val="00F95983"/>
    <w:rsid w:val="00F95F8C"/>
    <w:rsid w:val="00F96189"/>
    <w:rsid w:val="00F96973"/>
    <w:rsid w:val="00F969AF"/>
    <w:rsid w:val="00F96DC1"/>
    <w:rsid w:val="00F978D3"/>
    <w:rsid w:val="00F97A11"/>
    <w:rsid w:val="00F97B05"/>
    <w:rsid w:val="00F97D7F"/>
    <w:rsid w:val="00F97D9D"/>
    <w:rsid w:val="00F97F5C"/>
    <w:rsid w:val="00FA00E5"/>
    <w:rsid w:val="00FA0624"/>
    <w:rsid w:val="00FA064F"/>
    <w:rsid w:val="00FA0A50"/>
    <w:rsid w:val="00FA0B53"/>
    <w:rsid w:val="00FA1094"/>
    <w:rsid w:val="00FA1263"/>
    <w:rsid w:val="00FA17E2"/>
    <w:rsid w:val="00FA18CB"/>
    <w:rsid w:val="00FA1C9C"/>
    <w:rsid w:val="00FA2322"/>
    <w:rsid w:val="00FA24CA"/>
    <w:rsid w:val="00FA2511"/>
    <w:rsid w:val="00FA2652"/>
    <w:rsid w:val="00FA2B14"/>
    <w:rsid w:val="00FA2B29"/>
    <w:rsid w:val="00FA335C"/>
    <w:rsid w:val="00FA3532"/>
    <w:rsid w:val="00FA3C84"/>
    <w:rsid w:val="00FA3DB9"/>
    <w:rsid w:val="00FA408A"/>
    <w:rsid w:val="00FA4265"/>
    <w:rsid w:val="00FA4753"/>
    <w:rsid w:val="00FA490E"/>
    <w:rsid w:val="00FA49AC"/>
    <w:rsid w:val="00FA503D"/>
    <w:rsid w:val="00FA54FC"/>
    <w:rsid w:val="00FA5872"/>
    <w:rsid w:val="00FA665C"/>
    <w:rsid w:val="00FA6669"/>
    <w:rsid w:val="00FA6AEC"/>
    <w:rsid w:val="00FA6B09"/>
    <w:rsid w:val="00FA6BAD"/>
    <w:rsid w:val="00FA71F8"/>
    <w:rsid w:val="00FA78B7"/>
    <w:rsid w:val="00FA7EB7"/>
    <w:rsid w:val="00FB0085"/>
    <w:rsid w:val="00FB02C1"/>
    <w:rsid w:val="00FB06DE"/>
    <w:rsid w:val="00FB0923"/>
    <w:rsid w:val="00FB0C4E"/>
    <w:rsid w:val="00FB0D51"/>
    <w:rsid w:val="00FB16A7"/>
    <w:rsid w:val="00FB178F"/>
    <w:rsid w:val="00FB1873"/>
    <w:rsid w:val="00FB1B50"/>
    <w:rsid w:val="00FB1DAA"/>
    <w:rsid w:val="00FB1E3E"/>
    <w:rsid w:val="00FB2194"/>
    <w:rsid w:val="00FB23E7"/>
    <w:rsid w:val="00FB25B5"/>
    <w:rsid w:val="00FB2801"/>
    <w:rsid w:val="00FB2863"/>
    <w:rsid w:val="00FB28D2"/>
    <w:rsid w:val="00FB2AED"/>
    <w:rsid w:val="00FB2EA9"/>
    <w:rsid w:val="00FB347E"/>
    <w:rsid w:val="00FB37AF"/>
    <w:rsid w:val="00FB3873"/>
    <w:rsid w:val="00FB3C93"/>
    <w:rsid w:val="00FB41B7"/>
    <w:rsid w:val="00FB4396"/>
    <w:rsid w:val="00FB43E3"/>
    <w:rsid w:val="00FB46B7"/>
    <w:rsid w:val="00FB47A6"/>
    <w:rsid w:val="00FB4DB4"/>
    <w:rsid w:val="00FB4E02"/>
    <w:rsid w:val="00FB53A8"/>
    <w:rsid w:val="00FB55DE"/>
    <w:rsid w:val="00FB5717"/>
    <w:rsid w:val="00FB5747"/>
    <w:rsid w:val="00FB59D2"/>
    <w:rsid w:val="00FB5F74"/>
    <w:rsid w:val="00FB5F93"/>
    <w:rsid w:val="00FB6026"/>
    <w:rsid w:val="00FB6539"/>
    <w:rsid w:val="00FB6590"/>
    <w:rsid w:val="00FB6722"/>
    <w:rsid w:val="00FB6D6C"/>
    <w:rsid w:val="00FB6F83"/>
    <w:rsid w:val="00FB7069"/>
    <w:rsid w:val="00FB7093"/>
    <w:rsid w:val="00FB72E4"/>
    <w:rsid w:val="00FB7533"/>
    <w:rsid w:val="00FB792F"/>
    <w:rsid w:val="00FC03FA"/>
    <w:rsid w:val="00FC071A"/>
    <w:rsid w:val="00FC078B"/>
    <w:rsid w:val="00FC08E4"/>
    <w:rsid w:val="00FC09B9"/>
    <w:rsid w:val="00FC0C6D"/>
    <w:rsid w:val="00FC131D"/>
    <w:rsid w:val="00FC155D"/>
    <w:rsid w:val="00FC15C6"/>
    <w:rsid w:val="00FC163A"/>
    <w:rsid w:val="00FC1C62"/>
    <w:rsid w:val="00FC2459"/>
    <w:rsid w:val="00FC250F"/>
    <w:rsid w:val="00FC2574"/>
    <w:rsid w:val="00FC2915"/>
    <w:rsid w:val="00FC2B0F"/>
    <w:rsid w:val="00FC3205"/>
    <w:rsid w:val="00FC324D"/>
    <w:rsid w:val="00FC333A"/>
    <w:rsid w:val="00FC3C9A"/>
    <w:rsid w:val="00FC3D07"/>
    <w:rsid w:val="00FC3D48"/>
    <w:rsid w:val="00FC43F0"/>
    <w:rsid w:val="00FC452B"/>
    <w:rsid w:val="00FC4D94"/>
    <w:rsid w:val="00FC4E19"/>
    <w:rsid w:val="00FC578E"/>
    <w:rsid w:val="00FC5970"/>
    <w:rsid w:val="00FC5F2F"/>
    <w:rsid w:val="00FC60DC"/>
    <w:rsid w:val="00FC62D7"/>
    <w:rsid w:val="00FC645B"/>
    <w:rsid w:val="00FC6684"/>
    <w:rsid w:val="00FC66FA"/>
    <w:rsid w:val="00FC682A"/>
    <w:rsid w:val="00FC688E"/>
    <w:rsid w:val="00FC6D35"/>
    <w:rsid w:val="00FC6E9E"/>
    <w:rsid w:val="00FC73D7"/>
    <w:rsid w:val="00FC73FE"/>
    <w:rsid w:val="00FC775A"/>
    <w:rsid w:val="00FC7B74"/>
    <w:rsid w:val="00FC7BE5"/>
    <w:rsid w:val="00FC7DD6"/>
    <w:rsid w:val="00FD071B"/>
    <w:rsid w:val="00FD1076"/>
    <w:rsid w:val="00FD121E"/>
    <w:rsid w:val="00FD12A8"/>
    <w:rsid w:val="00FD1447"/>
    <w:rsid w:val="00FD1496"/>
    <w:rsid w:val="00FD1666"/>
    <w:rsid w:val="00FD1BB3"/>
    <w:rsid w:val="00FD1C81"/>
    <w:rsid w:val="00FD1FA6"/>
    <w:rsid w:val="00FD22C4"/>
    <w:rsid w:val="00FD269F"/>
    <w:rsid w:val="00FD26E4"/>
    <w:rsid w:val="00FD2829"/>
    <w:rsid w:val="00FD3075"/>
    <w:rsid w:val="00FD3180"/>
    <w:rsid w:val="00FD32D7"/>
    <w:rsid w:val="00FD382E"/>
    <w:rsid w:val="00FD390E"/>
    <w:rsid w:val="00FD39F1"/>
    <w:rsid w:val="00FD3F64"/>
    <w:rsid w:val="00FD44D7"/>
    <w:rsid w:val="00FD45B0"/>
    <w:rsid w:val="00FD4EE0"/>
    <w:rsid w:val="00FD51D0"/>
    <w:rsid w:val="00FD5586"/>
    <w:rsid w:val="00FD5640"/>
    <w:rsid w:val="00FD5942"/>
    <w:rsid w:val="00FD6B4C"/>
    <w:rsid w:val="00FD6E5E"/>
    <w:rsid w:val="00FD7F8E"/>
    <w:rsid w:val="00FE01D2"/>
    <w:rsid w:val="00FE0420"/>
    <w:rsid w:val="00FE0607"/>
    <w:rsid w:val="00FE0739"/>
    <w:rsid w:val="00FE088D"/>
    <w:rsid w:val="00FE09C6"/>
    <w:rsid w:val="00FE0AE4"/>
    <w:rsid w:val="00FE0FE7"/>
    <w:rsid w:val="00FE15A2"/>
    <w:rsid w:val="00FE1DD4"/>
    <w:rsid w:val="00FE1EF5"/>
    <w:rsid w:val="00FE1F8B"/>
    <w:rsid w:val="00FE21D7"/>
    <w:rsid w:val="00FE2355"/>
    <w:rsid w:val="00FE2824"/>
    <w:rsid w:val="00FE2B2C"/>
    <w:rsid w:val="00FE2C6C"/>
    <w:rsid w:val="00FE2DB6"/>
    <w:rsid w:val="00FE32CE"/>
    <w:rsid w:val="00FE33BC"/>
    <w:rsid w:val="00FE38CD"/>
    <w:rsid w:val="00FE3947"/>
    <w:rsid w:val="00FE3ADE"/>
    <w:rsid w:val="00FE414E"/>
    <w:rsid w:val="00FE47A1"/>
    <w:rsid w:val="00FE4F95"/>
    <w:rsid w:val="00FE5051"/>
    <w:rsid w:val="00FE58B8"/>
    <w:rsid w:val="00FE5D08"/>
    <w:rsid w:val="00FE5D61"/>
    <w:rsid w:val="00FE5EED"/>
    <w:rsid w:val="00FE60F7"/>
    <w:rsid w:val="00FE6245"/>
    <w:rsid w:val="00FE636E"/>
    <w:rsid w:val="00FE68F3"/>
    <w:rsid w:val="00FE6E71"/>
    <w:rsid w:val="00FE6F88"/>
    <w:rsid w:val="00FE77A4"/>
    <w:rsid w:val="00FE7B20"/>
    <w:rsid w:val="00FE7B59"/>
    <w:rsid w:val="00FE7B87"/>
    <w:rsid w:val="00FE7B8B"/>
    <w:rsid w:val="00FF012E"/>
    <w:rsid w:val="00FF01DC"/>
    <w:rsid w:val="00FF021D"/>
    <w:rsid w:val="00FF0E14"/>
    <w:rsid w:val="00FF1074"/>
    <w:rsid w:val="00FF14A8"/>
    <w:rsid w:val="00FF173E"/>
    <w:rsid w:val="00FF1E96"/>
    <w:rsid w:val="00FF2558"/>
    <w:rsid w:val="00FF279A"/>
    <w:rsid w:val="00FF28AC"/>
    <w:rsid w:val="00FF2ACE"/>
    <w:rsid w:val="00FF2DD5"/>
    <w:rsid w:val="00FF2EA1"/>
    <w:rsid w:val="00FF2F39"/>
    <w:rsid w:val="00FF3299"/>
    <w:rsid w:val="00FF32E5"/>
    <w:rsid w:val="00FF3632"/>
    <w:rsid w:val="00FF3DD6"/>
    <w:rsid w:val="00FF3DFC"/>
    <w:rsid w:val="00FF3F68"/>
    <w:rsid w:val="00FF4C50"/>
    <w:rsid w:val="00FF4DCC"/>
    <w:rsid w:val="00FF4FB7"/>
    <w:rsid w:val="00FF5C31"/>
    <w:rsid w:val="00FF5C4A"/>
    <w:rsid w:val="00FF5E2D"/>
    <w:rsid w:val="00FF5F9B"/>
    <w:rsid w:val="00FF61EE"/>
    <w:rsid w:val="00FF653C"/>
    <w:rsid w:val="00FF7098"/>
    <w:rsid w:val="00FF75AA"/>
    <w:rsid w:val="00FF7767"/>
    <w:rsid w:val="00FF78EB"/>
    <w:rsid w:val="00FF7A0A"/>
    <w:rsid w:val="00FF7CD2"/>
    <w:rsid w:val="00FF7EB7"/>
    <w:rsid w:val="00FF7F77"/>
    <w:rsid w:val="01069179"/>
    <w:rsid w:val="01525A3E"/>
    <w:rsid w:val="0171CFAD"/>
    <w:rsid w:val="01AFE649"/>
    <w:rsid w:val="02076133"/>
    <w:rsid w:val="0210CA4F"/>
    <w:rsid w:val="021406EA"/>
    <w:rsid w:val="02192640"/>
    <w:rsid w:val="02B99C08"/>
    <w:rsid w:val="033CC5E8"/>
    <w:rsid w:val="035F48F3"/>
    <w:rsid w:val="03A929D8"/>
    <w:rsid w:val="03AD86BF"/>
    <w:rsid w:val="03F91216"/>
    <w:rsid w:val="03FDFA17"/>
    <w:rsid w:val="04A6158A"/>
    <w:rsid w:val="04C63A92"/>
    <w:rsid w:val="04DC1696"/>
    <w:rsid w:val="04EAF6A4"/>
    <w:rsid w:val="050B1F7C"/>
    <w:rsid w:val="05398C79"/>
    <w:rsid w:val="053D1243"/>
    <w:rsid w:val="057C7E1B"/>
    <w:rsid w:val="059C5BB9"/>
    <w:rsid w:val="05CD5B7A"/>
    <w:rsid w:val="05D43CF7"/>
    <w:rsid w:val="060B2246"/>
    <w:rsid w:val="063DA138"/>
    <w:rsid w:val="06B53DF0"/>
    <w:rsid w:val="06DE56A0"/>
    <w:rsid w:val="07257E6B"/>
    <w:rsid w:val="0725D4C4"/>
    <w:rsid w:val="07693844"/>
    <w:rsid w:val="078D9FA9"/>
    <w:rsid w:val="07D50C7E"/>
    <w:rsid w:val="07EBB4FD"/>
    <w:rsid w:val="07F30BFA"/>
    <w:rsid w:val="08256EE4"/>
    <w:rsid w:val="088F62D7"/>
    <w:rsid w:val="0891B70A"/>
    <w:rsid w:val="08AE9E18"/>
    <w:rsid w:val="09017D92"/>
    <w:rsid w:val="093E495D"/>
    <w:rsid w:val="09527760"/>
    <w:rsid w:val="0980B847"/>
    <w:rsid w:val="09BDCAE1"/>
    <w:rsid w:val="0A2D711C"/>
    <w:rsid w:val="0A52B2C3"/>
    <w:rsid w:val="0A8E37F2"/>
    <w:rsid w:val="0A9817CB"/>
    <w:rsid w:val="0B146E81"/>
    <w:rsid w:val="0B2D9007"/>
    <w:rsid w:val="0BC84B4D"/>
    <w:rsid w:val="0C0808F8"/>
    <w:rsid w:val="0C1D0285"/>
    <w:rsid w:val="0C3F0C19"/>
    <w:rsid w:val="0C97E074"/>
    <w:rsid w:val="0D3E62B2"/>
    <w:rsid w:val="0D8E7F5F"/>
    <w:rsid w:val="0DC24380"/>
    <w:rsid w:val="0E6000B3"/>
    <w:rsid w:val="0EE588BB"/>
    <w:rsid w:val="0F4D5424"/>
    <w:rsid w:val="0FA4BA68"/>
    <w:rsid w:val="10452C06"/>
    <w:rsid w:val="10D2B91D"/>
    <w:rsid w:val="110B5D35"/>
    <w:rsid w:val="1188B071"/>
    <w:rsid w:val="118C7438"/>
    <w:rsid w:val="11A5FF15"/>
    <w:rsid w:val="122B17CA"/>
    <w:rsid w:val="12A573E9"/>
    <w:rsid w:val="12D0AEB9"/>
    <w:rsid w:val="12D7B7F1"/>
    <w:rsid w:val="12E67C0D"/>
    <w:rsid w:val="1334FCC6"/>
    <w:rsid w:val="133FEE14"/>
    <w:rsid w:val="140E3CFF"/>
    <w:rsid w:val="142FBF96"/>
    <w:rsid w:val="149E561E"/>
    <w:rsid w:val="149FC960"/>
    <w:rsid w:val="14AA20AD"/>
    <w:rsid w:val="14BC2018"/>
    <w:rsid w:val="1511992A"/>
    <w:rsid w:val="1544B4BC"/>
    <w:rsid w:val="161CAFD6"/>
    <w:rsid w:val="162C1EC6"/>
    <w:rsid w:val="1675DF00"/>
    <w:rsid w:val="1684CADC"/>
    <w:rsid w:val="16BF745A"/>
    <w:rsid w:val="16D05750"/>
    <w:rsid w:val="16F9D3A9"/>
    <w:rsid w:val="1724E9E7"/>
    <w:rsid w:val="1730E1E1"/>
    <w:rsid w:val="175381F2"/>
    <w:rsid w:val="17555120"/>
    <w:rsid w:val="17DA2A55"/>
    <w:rsid w:val="17F0E925"/>
    <w:rsid w:val="1899DE6D"/>
    <w:rsid w:val="18A2DC80"/>
    <w:rsid w:val="18D5C284"/>
    <w:rsid w:val="18FA5686"/>
    <w:rsid w:val="193C721B"/>
    <w:rsid w:val="194E87F7"/>
    <w:rsid w:val="1959719A"/>
    <w:rsid w:val="19C742DA"/>
    <w:rsid w:val="1A3D565B"/>
    <w:rsid w:val="1AA5A94D"/>
    <w:rsid w:val="1AD1F821"/>
    <w:rsid w:val="1AE39B98"/>
    <w:rsid w:val="1BBC4050"/>
    <w:rsid w:val="1BE2D41F"/>
    <w:rsid w:val="1BFEE327"/>
    <w:rsid w:val="1C050138"/>
    <w:rsid w:val="1C0A92CE"/>
    <w:rsid w:val="1C2A225B"/>
    <w:rsid w:val="1C3A65F4"/>
    <w:rsid w:val="1C4BE506"/>
    <w:rsid w:val="1C65DC29"/>
    <w:rsid w:val="1C9452B2"/>
    <w:rsid w:val="1CBF9BE3"/>
    <w:rsid w:val="1CC9EA6C"/>
    <w:rsid w:val="1CFC8D27"/>
    <w:rsid w:val="1D0CA7F8"/>
    <w:rsid w:val="1D4AA7E3"/>
    <w:rsid w:val="1D97DFBF"/>
    <w:rsid w:val="1DB00B52"/>
    <w:rsid w:val="1DEC0E5B"/>
    <w:rsid w:val="1EA046BB"/>
    <w:rsid w:val="1F97E9EE"/>
    <w:rsid w:val="1FDCFD23"/>
    <w:rsid w:val="1FDEFB5E"/>
    <w:rsid w:val="1FF6A4A4"/>
    <w:rsid w:val="20291BDD"/>
    <w:rsid w:val="204BC01D"/>
    <w:rsid w:val="204CCBE9"/>
    <w:rsid w:val="207C1B31"/>
    <w:rsid w:val="20B16BC3"/>
    <w:rsid w:val="20BDE948"/>
    <w:rsid w:val="20CFA09E"/>
    <w:rsid w:val="20D88E87"/>
    <w:rsid w:val="20EC425C"/>
    <w:rsid w:val="20EE3101"/>
    <w:rsid w:val="213AEFBB"/>
    <w:rsid w:val="21490111"/>
    <w:rsid w:val="2188DEE3"/>
    <w:rsid w:val="220C718E"/>
    <w:rsid w:val="2229513E"/>
    <w:rsid w:val="22838E80"/>
    <w:rsid w:val="22C754F8"/>
    <w:rsid w:val="233D5685"/>
    <w:rsid w:val="237A0CD0"/>
    <w:rsid w:val="23949EDE"/>
    <w:rsid w:val="23AC9924"/>
    <w:rsid w:val="23D37504"/>
    <w:rsid w:val="23F61F45"/>
    <w:rsid w:val="245DBB58"/>
    <w:rsid w:val="24A71F54"/>
    <w:rsid w:val="24A7ED76"/>
    <w:rsid w:val="24FF662C"/>
    <w:rsid w:val="25026A7A"/>
    <w:rsid w:val="252DC342"/>
    <w:rsid w:val="255A2AD8"/>
    <w:rsid w:val="25F09B86"/>
    <w:rsid w:val="26406BF2"/>
    <w:rsid w:val="264B7D70"/>
    <w:rsid w:val="26624218"/>
    <w:rsid w:val="2692D2B4"/>
    <w:rsid w:val="26D5F03C"/>
    <w:rsid w:val="27501030"/>
    <w:rsid w:val="275B5A2C"/>
    <w:rsid w:val="27690713"/>
    <w:rsid w:val="27987841"/>
    <w:rsid w:val="27A1F93E"/>
    <w:rsid w:val="27BFACB1"/>
    <w:rsid w:val="27C389EF"/>
    <w:rsid w:val="27DE087F"/>
    <w:rsid w:val="283F7B47"/>
    <w:rsid w:val="286030CD"/>
    <w:rsid w:val="28623E47"/>
    <w:rsid w:val="289D9499"/>
    <w:rsid w:val="28F6A558"/>
    <w:rsid w:val="292D78C0"/>
    <w:rsid w:val="293C4C5F"/>
    <w:rsid w:val="29E91515"/>
    <w:rsid w:val="2A2C0383"/>
    <w:rsid w:val="2A2C799A"/>
    <w:rsid w:val="2A92634C"/>
    <w:rsid w:val="2AA85575"/>
    <w:rsid w:val="2AEDD57C"/>
    <w:rsid w:val="2B3A052B"/>
    <w:rsid w:val="2B66AE75"/>
    <w:rsid w:val="2B67F4CA"/>
    <w:rsid w:val="2B6A0D8C"/>
    <w:rsid w:val="2B76338F"/>
    <w:rsid w:val="2BB5A651"/>
    <w:rsid w:val="2C11F532"/>
    <w:rsid w:val="2C737A20"/>
    <w:rsid w:val="2CEDC73A"/>
    <w:rsid w:val="2D39C4A0"/>
    <w:rsid w:val="2E064D53"/>
    <w:rsid w:val="2E3BD658"/>
    <w:rsid w:val="2E43B803"/>
    <w:rsid w:val="2EA44171"/>
    <w:rsid w:val="2EE718DE"/>
    <w:rsid w:val="2F900D0F"/>
    <w:rsid w:val="30218C43"/>
    <w:rsid w:val="305FA070"/>
    <w:rsid w:val="3062C11D"/>
    <w:rsid w:val="308D1117"/>
    <w:rsid w:val="30B3B1D2"/>
    <w:rsid w:val="3138E5E8"/>
    <w:rsid w:val="3165F7F0"/>
    <w:rsid w:val="319AC2C5"/>
    <w:rsid w:val="31A27A91"/>
    <w:rsid w:val="31F326C8"/>
    <w:rsid w:val="320C3997"/>
    <w:rsid w:val="321F082F"/>
    <w:rsid w:val="328084DE"/>
    <w:rsid w:val="329A2121"/>
    <w:rsid w:val="32B54D8C"/>
    <w:rsid w:val="32C8ED82"/>
    <w:rsid w:val="331106E0"/>
    <w:rsid w:val="33134905"/>
    <w:rsid w:val="3323EEA2"/>
    <w:rsid w:val="33D6E1B4"/>
    <w:rsid w:val="3419C7E2"/>
    <w:rsid w:val="3458EF77"/>
    <w:rsid w:val="347D73A6"/>
    <w:rsid w:val="34894117"/>
    <w:rsid w:val="34D7F907"/>
    <w:rsid w:val="35166388"/>
    <w:rsid w:val="35D33031"/>
    <w:rsid w:val="35F901D6"/>
    <w:rsid w:val="363D7BB2"/>
    <w:rsid w:val="36FAECBD"/>
    <w:rsid w:val="3719C89C"/>
    <w:rsid w:val="374C1B6E"/>
    <w:rsid w:val="3799EEDC"/>
    <w:rsid w:val="37B06B8A"/>
    <w:rsid w:val="3818C5D4"/>
    <w:rsid w:val="3849CE63"/>
    <w:rsid w:val="384B638D"/>
    <w:rsid w:val="386D3D4A"/>
    <w:rsid w:val="38B80DF6"/>
    <w:rsid w:val="38C02B73"/>
    <w:rsid w:val="38DDA5FC"/>
    <w:rsid w:val="38E14FAF"/>
    <w:rsid w:val="38E54E97"/>
    <w:rsid w:val="390AE860"/>
    <w:rsid w:val="3910DB82"/>
    <w:rsid w:val="3945FDE9"/>
    <w:rsid w:val="3953D819"/>
    <w:rsid w:val="396D49A4"/>
    <w:rsid w:val="397EB92F"/>
    <w:rsid w:val="3A3DE7C0"/>
    <w:rsid w:val="3AD4F56F"/>
    <w:rsid w:val="3AF7847A"/>
    <w:rsid w:val="3B2A0603"/>
    <w:rsid w:val="3B2B101B"/>
    <w:rsid w:val="3BCB9C01"/>
    <w:rsid w:val="3BEBDC11"/>
    <w:rsid w:val="3C026548"/>
    <w:rsid w:val="3C515A15"/>
    <w:rsid w:val="3C67EB78"/>
    <w:rsid w:val="3C897AEB"/>
    <w:rsid w:val="3C9C573B"/>
    <w:rsid w:val="3CFDD706"/>
    <w:rsid w:val="3D4852B9"/>
    <w:rsid w:val="3D9BF9AA"/>
    <w:rsid w:val="3E1B1F43"/>
    <w:rsid w:val="3EF54DD8"/>
    <w:rsid w:val="3F090DA8"/>
    <w:rsid w:val="3F0EB801"/>
    <w:rsid w:val="3F1B93D3"/>
    <w:rsid w:val="3FF715B8"/>
    <w:rsid w:val="4016E978"/>
    <w:rsid w:val="4036ECF4"/>
    <w:rsid w:val="40750C1C"/>
    <w:rsid w:val="40934FF0"/>
    <w:rsid w:val="409F5890"/>
    <w:rsid w:val="40C88A6F"/>
    <w:rsid w:val="40F6E312"/>
    <w:rsid w:val="410F6FF8"/>
    <w:rsid w:val="41125C07"/>
    <w:rsid w:val="4137EDAE"/>
    <w:rsid w:val="41455146"/>
    <w:rsid w:val="417D1B39"/>
    <w:rsid w:val="41855947"/>
    <w:rsid w:val="41906BBE"/>
    <w:rsid w:val="42127600"/>
    <w:rsid w:val="42832765"/>
    <w:rsid w:val="42943416"/>
    <w:rsid w:val="42B7D0B2"/>
    <w:rsid w:val="42BBF8A7"/>
    <w:rsid w:val="42C127B6"/>
    <w:rsid w:val="42D1FF21"/>
    <w:rsid w:val="4301442D"/>
    <w:rsid w:val="43632579"/>
    <w:rsid w:val="4389022A"/>
    <w:rsid w:val="4391662C"/>
    <w:rsid w:val="441CAD2B"/>
    <w:rsid w:val="44422009"/>
    <w:rsid w:val="446248AC"/>
    <w:rsid w:val="448202F8"/>
    <w:rsid w:val="44A213F9"/>
    <w:rsid w:val="44A81BC8"/>
    <w:rsid w:val="44A90587"/>
    <w:rsid w:val="4542410B"/>
    <w:rsid w:val="4549F749"/>
    <w:rsid w:val="45769036"/>
    <w:rsid w:val="457F591D"/>
    <w:rsid w:val="4642B2FA"/>
    <w:rsid w:val="46603276"/>
    <w:rsid w:val="4661A79B"/>
    <w:rsid w:val="4676B6A2"/>
    <w:rsid w:val="46DC9273"/>
    <w:rsid w:val="47568497"/>
    <w:rsid w:val="47FCE816"/>
    <w:rsid w:val="483D8C42"/>
    <w:rsid w:val="48919830"/>
    <w:rsid w:val="48C2E46A"/>
    <w:rsid w:val="48CC91D0"/>
    <w:rsid w:val="48EB55DF"/>
    <w:rsid w:val="4984421B"/>
    <w:rsid w:val="499038E7"/>
    <w:rsid w:val="49B04724"/>
    <w:rsid w:val="49C5FFCA"/>
    <w:rsid w:val="49ED868B"/>
    <w:rsid w:val="4A172B59"/>
    <w:rsid w:val="4A6F9692"/>
    <w:rsid w:val="4A98D27A"/>
    <w:rsid w:val="4A9E3CF8"/>
    <w:rsid w:val="4AFEFC3F"/>
    <w:rsid w:val="4B5B5D14"/>
    <w:rsid w:val="4B8EF740"/>
    <w:rsid w:val="4B99A4E6"/>
    <w:rsid w:val="4BD0FDE8"/>
    <w:rsid w:val="4BE5A93F"/>
    <w:rsid w:val="4CF08C0B"/>
    <w:rsid w:val="4D4F8023"/>
    <w:rsid w:val="4D55A719"/>
    <w:rsid w:val="4D5DFDAF"/>
    <w:rsid w:val="4D7FA1CF"/>
    <w:rsid w:val="4D96F6A2"/>
    <w:rsid w:val="4DF30B3F"/>
    <w:rsid w:val="4E0232DB"/>
    <w:rsid w:val="4E250C33"/>
    <w:rsid w:val="4E3D4EF2"/>
    <w:rsid w:val="4E759E63"/>
    <w:rsid w:val="4E7C12B8"/>
    <w:rsid w:val="4E9EBBB2"/>
    <w:rsid w:val="4EC81E6F"/>
    <w:rsid w:val="4EED1268"/>
    <w:rsid w:val="4EF46886"/>
    <w:rsid w:val="4F866C06"/>
    <w:rsid w:val="4FE111BA"/>
    <w:rsid w:val="4FF06CFC"/>
    <w:rsid w:val="4FF2D6B6"/>
    <w:rsid w:val="4FF980B5"/>
    <w:rsid w:val="503A310C"/>
    <w:rsid w:val="505232EC"/>
    <w:rsid w:val="508A8812"/>
    <w:rsid w:val="50A44EEC"/>
    <w:rsid w:val="511744B2"/>
    <w:rsid w:val="5142D16D"/>
    <w:rsid w:val="5166D948"/>
    <w:rsid w:val="51C4B17C"/>
    <w:rsid w:val="51C9745A"/>
    <w:rsid w:val="52102610"/>
    <w:rsid w:val="521B552E"/>
    <w:rsid w:val="525D990F"/>
    <w:rsid w:val="52815E0B"/>
    <w:rsid w:val="528422A3"/>
    <w:rsid w:val="5285B4AC"/>
    <w:rsid w:val="5293F160"/>
    <w:rsid w:val="52A7CC91"/>
    <w:rsid w:val="52CD23B3"/>
    <w:rsid w:val="52E4F7AD"/>
    <w:rsid w:val="52ECAE07"/>
    <w:rsid w:val="53B3B289"/>
    <w:rsid w:val="53F2118E"/>
    <w:rsid w:val="540ECFA6"/>
    <w:rsid w:val="547A7212"/>
    <w:rsid w:val="547AF7D2"/>
    <w:rsid w:val="547FEEC0"/>
    <w:rsid w:val="54A52115"/>
    <w:rsid w:val="54B32C0E"/>
    <w:rsid w:val="551F6F8D"/>
    <w:rsid w:val="5520A40F"/>
    <w:rsid w:val="552DAB3C"/>
    <w:rsid w:val="5562282C"/>
    <w:rsid w:val="559681A4"/>
    <w:rsid w:val="55A0C3A8"/>
    <w:rsid w:val="55D14653"/>
    <w:rsid w:val="55ECA721"/>
    <w:rsid w:val="563F92D0"/>
    <w:rsid w:val="564B07B6"/>
    <w:rsid w:val="56BD13B9"/>
    <w:rsid w:val="57144178"/>
    <w:rsid w:val="574828FF"/>
    <w:rsid w:val="57726C6F"/>
    <w:rsid w:val="57768E9D"/>
    <w:rsid w:val="57BB4F16"/>
    <w:rsid w:val="57BDF938"/>
    <w:rsid w:val="5828F862"/>
    <w:rsid w:val="58406F50"/>
    <w:rsid w:val="5863C18D"/>
    <w:rsid w:val="587DF482"/>
    <w:rsid w:val="5891F138"/>
    <w:rsid w:val="591AB3F0"/>
    <w:rsid w:val="591EF8FF"/>
    <w:rsid w:val="592446C4"/>
    <w:rsid w:val="59382E28"/>
    <w:rsid w:val="593E7442"/>
    <w:rsid w:val="594AC2C9"/>
    <w:rsid w:val="5951ED90"/>
    <w:rsid w:val="59D6E1D3"/>
    <w:rsid w:val="59EDA77D"/>
    <w:rsid w:val="5A5CE6B8"/>
    <w:rsid w:val="5A739155"/>
    <w:rsid w:val="5A8DF273"/>
    <w:rsid w:val="5B06FB07"/>
    <w:rsid w:val="5B3C7BDC"/>
    <w:rsid w:val="5B4F26D5"/>
    <w:rsid w:val="5B7D796E"/>
    <w:rsid w:val="5C0D01AA"/>
    <w:rsid w:val="5C1BA6CB"/>
    <w:rsid w:val="5C20897E"/>
    <w:rsid w:val="5C3475B7"/>
    <w:rsid w:val="5C3CC170"/>
    <w:rsid w:val="5C662FBF"/>
    <w:rsid w:val="5C70F594"/>
    <w:rsid w:val="5CD18CB8"/>
    <w:rsid w:val="5D003352"/>
    <w:rsid w:val="5D173C8A"/>
    <w:rsid w:val="5D76E895"/>
    <w:rsid w:val="5D8DF355"/>
    <w:rsid w:val="5DB64003"/>
    <w:rsid w:val="5E07F381"/>
    <w:rsid w:val="5E0B61E5"/>
    <w:rsid w:val="5E29C7A6"/>
    <w:rsid w:val="5E4562B0"/>
    <w:rsid w:val="5E8DC80B"/>
    <w:rsid w:val="5F5ADFD9"/>
    <w:rsid w:val="5F62DE83"/>
    <w:rsid w:val="5F62FE02"/>
    <w:rsid w:val="5F8A21E0"/>
    <w:rsid w:val="5F9844AB"/>
    <w:rsid w:val="5F9C9252"/>
    <w:rsid w:val="5FE0AAD6"/>
    <w:rsid w:val="5FE69D7D"/>
    <w:rsid w:val="6013E329"/>
    <w:rsid w:val="6021A497"/>
    <w:rsid w:val="607CF965"/>
    <w:rsid w:val="608D2E50"/>
    <w:rsid w:val="60E5CDBE"/>
    <w:rsid w:val="6142265C"/>
    <w:rsid w:val="6169ABF8"/>
    <w:rsid w:val="616FA919"/>
    <w:rsid w:val="617304CA"/>
    <w:rsid w:val="61785C62"/>
    <w:rsid w:val="62496455"/>
    <w:rsid w:val="62A52C15"/>
    <w:rsid w:val="63B9AFAD"/>
    <w:rsid w:val="63C236B4"/>
    <w:rsid w:val="63F65387"/>
    <w:rsid w:val="640D3E86"/>
    <w:rsid w:val="642FA41F"/>
    <w:rsid w:val="64608BE2"/>
    <w:rsid w:val="64899939"/>
    <w:rsid w:val="64B960C0"/>
    <w:rsid w:val="64EDF47F"/>
    <w:rsid w:val="652E42FC"/>
    <w:rsid w:val="6572AE22"/>
    <w:rsid w:val="657B5869"/>
    <w:rsid w:val="65A7792A"/>
    <w:rsid w:val="65E89C2A"/>
    <w:rsid w:val="679A653F"/>
    <w:rsid w:val="67B39811"/>
    <w:rsid w:val="67B52CB2"/>
    <w:rsid w:val="67BCFF7C"/>
    <w:rsid w:val="67C0453A"/>
    <w:rsid w:val="67C1841A"/>
    <w:rsid w:val="67E53066"/>
    <w:rsid w:val="682AAF60"/>
    <w:rsid w:val="69050F4D"/>
    <w:rsid w:val="6934354F"/>
    <w:rsid w:val="69350BE3"/>
    <w:rsid w:val="694A3312"/>
    <w:rsid w:val="69B21EC2"/>
    <w:rsid w:val="69C186D2"/>
    <w:rsid w:val="69D7BA1C"/>
    <w:rsid w:val="69F1A92C"/>
    <w:rsid w:val="6A36A899"/>
    <w:rsid w:val="6A450F08"/>
    <w:rsid w:val="6A9D7EE6"/>
    <w:rsid w:val="6AB3DEE9"/>
    <w:rsid w:val="6AD6AEFC"/>
    <w:rsid w:val="6AF31486"/>
    <w:rsid w:val="6B22BBC2"/>
    <w:rsid w:val="6B3DFF9D"/>
    <w:rsid w:val="6B662E53"/>
    <w:rsid w:val="6BB75DAE"/>
    <w:rsid w:val="6BBF62EF"/>
    <w:rsid w:val="6BC487FC"/>
    <w:rsid w:val="6BD42697"/>
    <w:rsid w:val="6BFE0A5C"/>
    <w:rsid w:val="6C25BFDD"/>
    <w:rsid w:val="6C2838C9"/>
    <w:rsid w:val="6C4EA7F7"/>
    <w:rsid w:val="6C7AF6DE"/>
    <w:rsid w:val="6CB1560E"/>
    <w:rsid w:val="6CD17596"/>
    <w:rsid w:val="6D97BD1C"/>
    <w:rsid w:val="6DDBD077"/>
    <w:rsid w:val="6DEEA9E5"/>
    <w:rsid w:val="6E6D59C9"/>
    <w:rsid w:val="6E6F4BDC"/>
    <w:rsid w:val="6E7C7CC8"/>
    <w:rsid w:val="6EC1C510"/>
    <w:rsid w:val="6ECBEA00"/>
    <w:rsid w:val="6EF5A337"/>
    <w:rsid w:val="6F322D39"/>
    <w:rsid w:val="6F448B9E"/>
    <w:rsid w:val="6F79EFF9"/>
    <w:rsid w:val="6F7A4F0E"/>
    <w:rsid w:val="6FF57EFF"/>
    <w:rsid w:val="705E7E64"/>
    <w:rsid w:val="709596F2"/>
    <w:rsid w:val="70984896"/>
    <w:rsid w:val="70A91E13"/>
    <w:rsid w:val="70D43CF5"/>
    <w:rsid w:val="70FE2828"/>
    <w:rsid w:val="710C59FF"/>
    <w:rsid w:val="7117687E"/>
    <w:rsid w:val="7119AF21"/>
    <w:rsid w:val="711EF387"/>
    <w:rsid w:val="717AEACA"/>
    <w:rsid w:val="717B9D8E"/>
    <w:rsid w:val="717F226C"/>
    <w:rsid w:val="71FB7854"/>
    <w:rsid w:val="721B50B0"/>
    <w:rsid w:val="723485A7"/>
    <w:rsid w:val="727911D5"/>
    <w:rsid w:val="72E21487"/>
    <w:rsid w:val="73143B18"/>
    <w:rsid w:val="738FBF57"/>
    <w:rsid w:val="74463E96"/>
    <w:rsid w:val="749DC2FF"/>
    <w:rsid w:val="74AF4AC0"/>
    <w:rsid w:val="74CB8D7D"/>
    <w:rsid w:val="74CC2ED8"/>
    <w:rsid w:val="7552990B"/>
    <w:rsid w:val="755D4F06"/>
    <w:rsid w:val="755DC002"/>
    <w:rsid w:val="75F0F52A"/>
    <w:rsid w:val="765F564B"/>
    <w:rsid w:val="76E542AF"/>
    <w:rsid w:val="76FF5B05"/>
    <w:rsid w:val="772AAB74"/>
    <w:rsid w:val="774F9920"/>
    <w:rsid w:val="779E911B"/>
    <w:rsid w:val="78092979"/>
    <w:rsid w:val="7820A3FC"/>
    <w:rsid w:val="78290825"/>
    <w:rsid w:val="7890B0C2"/>
    <w:rsid w:val="78F26CF0"/>
    <w:rsid w:val="78F94E8C"/>
    <w:rsid w:val="7962173E"/>
    <w:rsid w:val="7962CEC6"/>
    <w:rsid w:val="79DE6D19"/>
    <w:rsid w:val="7A144ECB"/>
    <w:rsid w:val="7A1EBB63"/>
    <w:rsid w:val="7A2A0E62"/>
    <w:rsid w:val="7A683FB2"/>
    <w:rsid w:val="7ABCE06F"/>
    <w:rsid w:val="7AE40794"/>
    <w:rsid w:val="7AEA0BFC"/>
    <w:rsid w:val="7AED1E0D"/>
    <w:rsid w:val="7B134314"/>
    <w:rsid w:val="7B992BCA"/>
    <w:rsid w:val="7BFCA752"/>
    <w:rsid w:val="7C022BAB"/>
    <w:rsid w:val="7C6ECC56"/>
    <w:rsid w:val="7CD51CDC"/>
    <w:rsid w:val="7D1F7E4E"/>
    <w:rsid w:val="7D35A3C7"/>
    <w:rsid w:val="7D38ECE2"/>
    <w:rsid w:val="7D83A51B"/>
    <w:rsid w:val="7DC346F6"/>
    <w:rsid w:val="7DEEEB2B"/>
    <w:rsid w:val="7E1201DE"/>
    <w:rsid w:val="7E2A0497"/>
    <w:rsid w:val="7E73FCC1"/>
    <w:rsid w:val="7EB102D8"/>
    <w:rsid w:val="7EDEDEF1"/>
    <w:rsid w:val="7F1CD7A4"/>
    <w:rsid w:val="7F90696B"/>
    <w:rsid w:val="7FBF86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ADC06"/>
  <w15:chartTrackingRefBased/>
  <w15:docId w15:val="{EA75C5C1-EAAD-4807-98F1-68839BA1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AE1"/>
    <w:pPr>
      <w:spacing w:after="120" w:line="240" w:lineRule="auto"/>
    </w:pPr>
    <w:rPr>
      <w:rFonts w:ascii="Tahoma" w:eastAsia="Times New Roman" w:hAnsi="Tahoma" w:cs="Arial"/>
      <w:kern w:val="0"/>
      <w:szCs w:val="20"/>
      <w14:ligatures w14:val="none"/>
    </w:rPr>
  </w:style>
  <w:style w:type="paragraph" w:styleId="Heading1">
    <w:name w:val="heading 1"/>
    <w:basedOn w:val="Normal"/>
    <w:next w:val="Heading2"/>
    <w:link w:val="Heading1Char"/>
    <w:uiPriority w:val="99"/>
    <w:qFormat/>
    <w:rsid w:val="00FE4F95"/>
    <w:pPr>
      <w:keepNext/>
      <w:keepLines/>
      <w:spacing w:before="1080" w:after="140"/>
      <w:jc w:val="center"/>
      <w:outlineLvl w:val="0"/>
    </w:pPr>
    <w:rPr>
      <w:rFonts w:eastAsiaTheme="majorEastAsia" w:cs="Tahoma"/>
      <w:b/>
      <w:color w:val="000000" w:themeColor="text1"/>
      <w:sz w:val="40"/>
      <w:szCs w:val="40"/>
    </w:rPr>
  </w:style>
  <w:style w:type="paragraph" w:styleId="Heading2">
    <w:name w:val="heading 2"/>
    <w:aliases w:val="Heading 2 Char1,Heading 2 Char Char,Heading 2 DEBA"/>
    <w:basedOn w:val="Normal"/>
    <w:next w:val="Normal"/>
    <w:link w:val="Heading2Char"/>
    <w:unhideWhenUsed/>
    <w:qFormat/>
    <w:rsid w:val="00DB1402"/>
    <w:pPr>
      <w:keepNext/>
      <w:keepLines/>
      <w:pBdr>
        <w:bottom w:val="single" w:sz="4" w:space="1" w:color="auto"/>
      </w:pBdr>
      <w:spacing w:before="160" w:after="480"/>
      <w:outlineLvl w:val="1"/>
    </w:pPr>
    <w:rPr>
      <w:rFonts w:eastAsiaTheme="majorEastAsia" w:cstheme="majorBidi"/>
      <w:b/>
      <w:smallCaps/>
      <w:color w:val="000000" w:themeColor="text1"/>
      <w:sz w:val="40"/>
      <w:szCs w:val="32"/>
    </w:rPr>
  </w:style>
  <w:style w:type="paragraph" w:styleId="Heading3">
    <w:name w:val="heading 3"/>
    <w:aliases w:val="DEBA,Body2,Section 1"/>
    <w:basedOn w:val="Normal"/>
    <w:next w:val="Normal"/>
    <w:link w:val="Heading3Char"/>
    <w:unhideWhenUsed/>
    <w:qFormat/>
    <w:rsid w:val="00346D6C"/>
    <w:pPr>
      <w:keepNext/>
      <w:keepLines/>
      <w:numPr>
        <w:numId w:val="66"/>
      </w:numPr>
      <w:spacing w:before="240" w:after="40"/>
      <w:outlineLvl w:val="2"/>
    </w:pPr>
    <w:rPr>
      <w:rFonts w:eastAsiaTheme="majorEastAsia" w:cstheme="majorBidi"/>
      <w:b/>
      <w:color w:val="000000" w:themeColor="text1"/>
      <w:sz w:val="30"/>
      <w:szCs w:val="28"/>
    </w:rPr>
  </w:style>
  <w:style w:type="paragraph" w:styleId="Heading4">
    <w:name w:val="heading 4"/>
    <w:basedOn w:val="ListParagraph"/>
    <w:next w:val="Normal"/>
    <w:link w:val="Heading4Char"/>
    <w:uiPriority w:val="99"/>
    <w:unhideWhenUsed/>
    <w:qFormat/>
    <w:rsid w:val="00AC7990"/>
    <w:pPr>
      <w:keepNext/>
      <w:keepLines/>
      <w:spacing w:before="200" w:after="40"/>
      <w:ind w:left="360" w:hanging="360"/>
      <w:contextualSpacing w:val="0"/>
      <w:outlineLvl w:val="3"/>
    </w:pPr>
    <w:rPr>
      <w:rFonts w:eastAsiaTheme="majorEastAsia" w:cstheme="majorBidi"/>
      <w:b/>
      <w:iCs/>
      <w:color w:val="000000" w:themeColor="text1"/>
      <w:sz w:val="26"/>
    </w:rPr>
  </w:style>
  <w:style w:type="paragraph" w:styleId="Heading5">
    <w:name w:val="heading 5"/>
    <w:basedOn w:val="Normal"/>
    <w:next w:val="Normal"/>
    <w:link w:val="Heading5Char"/>
    <w:unhideWhenUsed/>
    <w:qFormat/>
    <w:rsid w:val="00D80DEB"/>
    <w:pPr>
      <w:keepNext/>
      <w:keepLines/>
      <w:numPr>
        <w:numId w:val="69"/>
      </w:numPr>
      <w:spacing w:before="200" w:after="40"/>
      <w:outlineLvl w:val="4"/>
    </w:pPr>
    <w:rPr>
      <w:rFonts w:eastAsiaTheme="majorEastAsia" w:cstheme="majorBidi"/>
      <w:b/>
      <w:color w:val="000000" w:themeColor="text1"/>
    </w:rPr>
  </w:style>
  <w:style w:type="paragraph" w:styleId="Heading6">
    <w:name w:val="heading 6"/>
    <w:basedOn w:val="Normal"/>
    <w:next w:val="Normal"/>
    <w:link w:val="Heading6Char"/>
    <w:uiPriority w:val="99"/>
    <w:unhideWhenUsed/>
    <w:qFormat/>
    <w:rsid w:val="00EE4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EE4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EE4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EE4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E4F95"/>
    <w:rPr>
      <w:rFonts w:ascii="Tahoma" w:eastAsiaTheme="majorEastAsia" w:hAnsi="Tahoma" w:cs="Tahoma"/>
      <w:b/>
      <w:color w:val="000000" w:themeColor="text1"/>
      <w:kern w:val="0"/>
      <w:sz w:val="40"/>
      <w:szCs w:val="40"/>
      <w14:ligatures w14:val="none"/>
    </w:rPr>
  </w:style>
  <w:style w:type="character" w:customStyle="1" w:styleId="Heading2Char">
    <w:name w:val="Heading 2 Char"/>
    <w:aliases w:val="Heading 2 Char1 Char,Heading 2 Char Char Char,Heading 2 DEBA Char"/>
    <w:basedOn w:val="DefaultParagraphFont"/>
    <w:link w:val="Heading2"/>
    <w:rsid w:val="00DB1402"/>
    <w:rPr>
      <w:rFonts w:ascii="Tahoma" w:eastAsiaTheme="majorEastAsia" w:hAnsi="Tahoma" w:cstheme="majorBidi"/>
      <w:b/>
      <w:smallCaps/>
      <w:color w:val="000000" w:themeColor="text1"/>
      <w:kern w:val="0"/>
      <w:sz w:val="40"/>
      <w:szCs w:val="32"/>
      <w14:ligatures w14:val="none"/>
    </w:rPr>
  </w:style>
  <w:style w:type="character" w:customStyle="1" w:styleId="Heading3Char">
    <w:name w:val="Heading 3 Char"/>
    <w:aliases w:val="DEBA Char,Body2 Char,Section 1 Char"/>
    <w:basedOn w:val="DefaultParagraphFont"/>
    <w:link w:val="Heading3"/>
    <w:rsid w:val="00346D6C"/>
    <w:rPr>
      <w:rFonts w:ascii="Tahoma" w:eastAsiaTheme="majorEastAsia" w:hAnsi="Tahoma" w:cstheme="majorBidi"/>
      <w:b/>
      <w:color w:val="000000" w:themeColor="text1"/>
      <w:kern w:val="0"/>
      <w:sz w:val="30"/>
      <w:szCs w:val="28"/>
      <w14:ligatures w14:val="none"/>
    </w:rPr>
  </w:style>
  <w:style w:type="character" w:customStyle="1" w:styleId="Heading4Char">
    <w:name w:val="Heading 4 Char"/>
    <w:basedOn w:val="DefaultParagraphFont"/>
    <w:link w:val="Heading4"/>
    <w:uiPriority w:val="99"/>
    <w:rsid w:val="00AC7990"/>
    <w:rPr>
      <w:rFonts w:ascii="Tahoma" w:eastAsiaTheme="majorEastAsia" w:hAnsi="Tahoma" w:cstheme="majorBidi"/>
      <w:b/>
      <w:iCs/>
      <w:color w:val="000000" w:themeColor="text1"/>
      <w:kern w:val="0"/>
      <w:sz w:val="26"/>
      <w:szCs w:val="20"/>
      <w14:ligatures w14:val="none"/>
    </w:rPr>
  </w:style>
  <w:style w:type="character" w:customStyle="1" w:styleId="Heading5Char">
    <w:name w:val="Heading 5 Char"/>
    <w:basedOn w:val="DefaultParagraphFont"/>
    <w:link w:val="Heading5"/>
    <w:rsid w:val="00D80DEB"/>
    <w:rPr>
      <w:rFonts w:ascii="Tahoma" w:eastAsiaTheme="majorEastAsia" w:hAnsi="Tahoma" w:cstheme="majorBidi"/>
      <w:b/>
      <w:color w:val="000000" w:themeColor="text1"/>
      <w:kern w:val="0"/>
      <w:szCs w:val="20"/>
      <w14:ligatures w14:val="none"/>
    </w:rPr>
  </w:style>
  <w:style w:type="character" w:customStyle="1" w:styleId="Heading6Char">
    <w:name w:val="Heading 6 Char"/>
    <w:basedOn w:val="DefaultParagraphFont"/>
    <w:link w:val="Heading6"/>
    <w:uiPriority w:val="99"/>
    <w:semiHidden/>
    <w:rsid w:val="00EE4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EE4EC5"/>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EE4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EE4EC5"/>
    <w:rPr>
      <w:rFonts w:eastAsiaTheme="majorEastAsia" w:cstheme="majorBidi"/>
      <w:color w:val="272727" w:themeColor="text1" w:themeTint="D8"/>
    </w:rPr>
  </w:style>
  <w:style w:type="paragraph" w:styleId="Title">
    <w:name w:val="Title"/>
    <w:basedOn w:val="TableTitle"/>
    <w:next w:val="Normal"/>
    <w:link w:val="TitleChar"/>
    <w:uiPriority w:val="99"/>
    <w:qFormat/>
    <w:rsid w:val="009424F2"/>
    <w:pPr>
      <w:spacing w:before="0" w:after="240"/>
      <w:contextualSpacing/>
    </w:pPr>
    <w:rPr>
      <w:rFonts w:eastAsiaTheme="majorEastAsia" w:cstheme="majorBidi"/>
      <w:spacing w:val="-10"/>
      <w:kern w:val="28"/>
      <w:szCs w:val="56"/>
    </w:rPr>
  </w:style>
  <w:style w:type="character" w:customStyle="1" w:styleId="TitleChar">
    <w:name w:val="Title Char"/>
    <w:basedOn w:val="DefaultParagraphFont"/>
    <w:link w:val="Title"/>
    <w:uiPriority w:val="99"/>
    <w:rsid w:val="009424F2"/>
    <w:rPr>
      <w:rFonts w:ascii="Tahoma" w:eastAsiaTheme="majorEastAsia" w:hAnsi="Tahoma" w:cstheme="majorBidi"/>
      <w:b/>
      <w:spacing w:val="-10"/>
      <w:kern w:val="28"/>
      <w:szCs w:val="56"/>
      <w14:ligatures w14:val="none"/>
    </w:rPr>
  </w:style>
  <w:style w:type="paragraph" w:styleId="Subtitle">
    <w:name w:val="Subtitle"/>
    <w:basedOn w:val="Normal"/>
    <w:next w:val="Normal"/>
    <w:link w:val="SubtitleChar"/>
    <w:uiPriority w:val="99"/>
    <w:qFormat/>
    <w:rsid w:val="00EE4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EE4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EC5"/>
    <w:pPr>
      <w:spacing w:before="160"/>
      <w:jc w:val="center"/>
    </w:pPr>
    <w:rPr>
      <w:i/>
      <w:iCs/>
      <w:color w:val="404040" w:themeColor="text1" w:themeTint="BF"/>
    </w:rPr>
  </w:style>
  <w:style w:type="character" w:customStyle="1" w:styleId="QuoteChar">
    <w:name w:val="Quote Char"/>
    <w:basedOn w:val="DefaultParagraphFont"/>
    <w:link w:val="Quote"/>
    <w:uiPriority w:val="29"/>
    <w:rsid w:val="00EE4EC5"/>
    <w:rPr>
      <w:i/>
      <w:iCs/>
      <w:color w:val="404040" w:themeColor="text1" w:themeTint="BF"/>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EE4EC5"/>
    <w:pPr>
      <w:ind w:left="720"/>
      <w:contextualSpacing/>
    </w:pPr>
  </w:style>
  <w:style w:type="character" w:styleId="IntenseEmphasis">
    <w:name w:val="Intense Emphasis"/>
    <w:basedOn w:val="DefaultParagraphFont"/>
    <w:uiPriority w:val="99"/>
    <w:qFormat/>
    <w:rsid w:val="00EE4EC5"/>
    <w:rPr>
      <w:i/>
      <w:iCs/>
      <w:color w:val="0F4761" w:themeColor="accent1" w:themeShade="BF"/>
    </w:rPr>
  </w:style>
  <w:style w:type="paragraph" w:styleId="IntenseQuote">
    <w:name w:val="Intense Quote"/>
    <w:basedOn w:val="Normal"/>
    <w:next w:val="Normal"/>
    <w:link w:val="IntenseQuoteChar"/>
    <w:uiPriority w:val="30"/>
    <w:qFormat/>
    <w:rsid w:val="00EE4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EC5"/>
    <w:rPr>
      <w:i/>
      <w:iCs/>
      <w:color w:val="0F4761" w:themeColor="accent1" w:themeShade="BF"/>
    </w:rPr>
  </w:style>
  <w:style w:type="character" w:styleId="IntenseReference">
    <w:name w:val="Intense Reference"/>
    <w:basedOn w:val="DefaultParagraphFont"/>
    <w:uiPriority w:val="32"/>
    <w:qFormat/>
    <w:rsid w:val="00EE4EC5"/>
    <w:rPr>
      <w:b/>
      <w:bCs/>
      <w:smallCaps/>
      <w:color w:val="0F4761" w:themeColor="accent1" w:themeShade="BF"/>
      <w:spacing w:val="5"/>
    </w:rPr>
  </w:style>
  <w:style w:type="paragraph" w:customStyle="1" w:styleId="ContinuedOnNextPa">
    <w:name w:val="Continued On Next Pa"/>
    <w:basedOn w:val="Normal"/>
    <w:next w:val="Normal"/>
    <w:uiPriority w:val="99"/>
    <w:rsid w:val="00674AE1"/>
    <w:pPr>
      <w:pBdr>
        <w:top w:val="single" w:sz="6" w:space="1" w:color="auto"/>
        <w:between w:val="single" w:sz="6" w:space="1" w:color="auto"/>
      </w:pBdr>
      <w:ind w:left="1700"/>
      <w:jc w:val="right"/>
    </w:pPr>
    <w:rPr>
      <w:i/>
      <w:sz w:val="20"/>
    </w:rPr>
  </w:style>
  <w:style w:type="paragraph" w:styleId="BlockText">
    <w:name w:val="Block Text"/>
    <w:basedOn w:val="Normal"/>
    <w:uiPriority w:val="99"/>
    <w:rsid w:val="00674AE1"/>
    <w:pPr>
      <w:ind w:left="1440"/>
      <w:jc w:val="center"/>
    </w:pPr>
    <w:rPr>
      <w:b/>
      <w:sz w:val="32"/>
    </w:rPr>
  </w:style>
  <w:style w:type="paragraph" w:styleId="Header">
    <w:name w:val="header"/>
    <w:basedOn w:val="Normal"/>
    <w:link w:val="HeaderChar"/>
    <w:uiPriority w:val="99"/>
    <w:rsid w:val="00674AE1"/>
    <w:pPr>
      <w:tabs>
        <w:tab w:val="center" w:pos="4320"/>
        <w:tab w:val="right" w:pos="8640"/>
      </w:tabs>
    </w:pPr>
    <w:rPr>
      <w:rFonts w:cs="Times New Roman"/>
    </w:rPr>
  </w:style>
  <w:style w:type="character" w:customStyle="1" w:styleId="HeaderChar">
    <w:name w:val="Header Char"/>
    <w:basedOn w:val="DefaultParagraphFont"/>
    <w:link w:val="Header"/>
    <w:uiPriority w:val="99"/>
    <w:rsid w:val="00674AE1"/>
    <w:rPr>
      <w:rFonts w:ascii="Tahoma" w:eastAsia="Times New Roman" w:hAnsi="Tahoma" w:cs="Times New Roman"/>
      <w:kern w:val="0"/>
      <w:szCs w:val="20"/>
      <w14:ligatures w14:val="none"/>
    </w:rPr>
  </w:style>
  <w:style w:type="paragraph" w:styleId="Footer">
    <w:name w:val="footer"/>
    <w:basedOn w:val="Normal"/>
    <w:link w:val="FooterChar"/>
    <w:uiPriority w:val="99"/>
    <w:rsid w:val="00674AE1"/>
    <w:pPr>
      <w:tabs>
        <w:tab w:val="center" w:pos="4320"/>
        <w:tab w:val="right" w:pos="8640"/>
      </w:tabs>
    </w:pPr>
    <w:rPr>
      <w:rFonts w:cs="Times New Roman"/>
    </w:rPr>
  </w:style>
  <w:style w:type="character" w:customStyle="1" w:styleId="FooterChar">
    <w:name w:val="Footer Char"/>
    <w:basedOn w:val="DefaultParagraphFont"/>
    <w:link w:val="Footer"/>
    <w:uiPriority w:val="99"/>
    <w:rsid w:val="00674AE1"/>
    <w:rPr>
      <w:rFonts w:ascii="Tahoma" w:eastAsia="Times New Roman" w:hAnsi="Tahoma" w:cs="Times New Roman"/>
      <w:kern w:val="0"/>
      <w:szCs w:val="20"/>
      <w14:ligatures w14:val="none"/>
    </w:rPr>
  </w:style>
  <w:style w:type="paragraph" w:styleId="BodyText">
    <w:name w:val="Body Text"/>
    <w:aliases w:val="Body 1,Body Text Char1,Body Text Char Char,bt"/>
    <w:basedOn w:val="Normal"/>
    <w:link w:val="BodyTextChar"/>
    <w:uiPriority w:val="99"/>
    <w:rsid w:val="00674AE1"/>
    <w:pPr>
      <w:spacing w:before="240" w:after="240"/>
      <w:ind w:right="-14"/>
    </w:pPr>
    <w:rPr>
      <w:rFonts w:cs="Times New Roman"/>
    </w:rPr>
  </w:style>
  <w:style w:type="character" w:customStyle="1" w:styleId="BodyTextChar">
    <w:name w:val="Body Text Char"/>
    <w:aliases w:val="Body 1 Char,Body Text Char1 Char,Body Text Char Char Char,bt Char"/>
    <w:basedOn w:val="DefaultParagraphFont"/>
    <w:link w:val="BodyText"/>
    <w:uiPriority w:val="99"/>
    <w:rsid w:val="00674AE1"/>
    <w:rPr>
      <w:rFonts w:ascii="Tahoma" w:eastAsia="Times New Roman" w:hAnsi="Tahoma" w:cs="Times New Roman"/>
      <w:kern w:val="0"/>
      <w:szCs w:val="20"/>
      <w14:ligatures w14:val="none"/>
    </w:rPr>
  </w:style>
  <w:style w:type="character" w:styleId="PageNumber">
    <w:name w:val="page number"/>
    <w:basedOn w:val="DefaultParagraphFont"/>
    <w:uiPriority w:val="99"/>
    <w:rsid w:val="00674AE1"/>
    <w:rPr>
      <w:rFonts w:cs="Times New Roman"/>
    </w:rPr>
  </w:style>
  <w:style w:type="paragraph" w:styleId="MacroText">
    <w:name w:val="macro"/>
    <w:link w:val="MacroTextChar"/>
    <w:uiPriority w:val="99"/>
    <w:semiHidden/>
    <w:rsid w:val="00674AE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Arial"/>
      <w:kern w:val="0"/>
      <w:szCs w:val="20"/>
      <w14:ligatures w14:val="none"/>
    </w:rPr>
  </w:style>
  <w:style w:type="character" w:customStyle="1" w:styleId="MacroTextChar">
    <w:name w:val="Macro Text Char"/>
    <w:basedOn w:val="DefaultParagraphFont"/>
    <w:link w:val="MacroText"/>
    <w:uiPriority w:val="99"/>
    <w:semiHidden/>
    <w:rsid w:val="00674AE1"/>
    <w:rPr>
      <w:rFonts w:ascii="Courier New" w:eastAsia="Times New Roman" w:hAnsi="Courier New" w:cs="Arial"/>
      <w:kern w:val="0"/>
      <w:szCs w:val="20"/>
      <w14:ligatures w14:val="none"/>
    </w:rPr>
  </w:style>
  <w:style w:type="paragraph" w:styleId="TOC2">
    <w:name w:val="toc 2"/>
    <w:basedOn w:val="Normal"/>
    <w:next w:val="Normal"/>
    <w:autoRedefine/>
    <w:uiPriority w:val="39"/>
    <w:qFormat/>
    <w:rsid w:val="00010397"/>
    <w:pPr>
      <w:keepNext/>
      <w:tabs>
        <w:tab w:val="left" w:pos="660"/>
        <w:tab w:val="right" w:leader="dot" w:pos="9350"/>
      </w:tabs>
      <w:spacing w:after="0"/>
      <w:ind w:left="216"/>
    </w:pPr>
    <w:rPr>
      <w:b/>
      <w:bCs/>
      <w:smallCaps/>
      <w:noProof/>
      <w:szCs w:val="22"/>
    </w:rPr>
  </w:style>
  <w:style w:type="paragraph" w:styleId="TOC1">
    <w:name w:val="toc 1"/>
    <w:basedOn w:val="Normal"/>
    <w:next w:val="Normal"/>
    <w:autoRedefine/>
    <w:uiPriority w:val="39"/>
    <w:qFormat/>
    <w:rsid w:val="00D8438C"/>
    <w:pPr>
      <w:tabs>
        <w:tab w:val="left" w:pos="440"/>
        <w:tab w:val="right" w:leader="dot" w:pos="9350"/>
      </w:tabs>
      <w:spacing w:before="120"/>
      <w:jc w:val="center"/>
    </w:pPr>
    <w:rPr>
      <w:b/>
      <w:bCs/>
      <w:noProof/>
      <w:sz w:val="32"/>
      <w:szCs w:val="32"/>
    </w:rPr>
  </w:style>
  <w:style w:type="paragraph" w:styleId="TOC3">
    <w:name w:val="toc 3"/>
    <w:basedOn w:val="Normal"/>
    <w:next w:val="Normal"/>
    <w:autoRedefine/>
    <w:uiPriority w:val="39"/>
    <w:qFormat/>
    <w:rsid w:val="00674AE1"/>
    <w:pPr>
      <w:tabs>
        <w:tab w:val="left" w:pos="880"/>
        <w:tab w:val="right" w:leader="dot" w:pos="9350"/>
      </w:tabs>
      <w:spacing w:after="0"/>
      <w:ind w:left="440"/>
    </w:pPr>
    <w:rPr>
      <w:iCs/>
    </w:rPr>
  </w:style>
  <w:style w:type="paragraph" w:styleId="TOC4">
    <w:name w:val="toc 4"/>
    <w:basedOn w:val="Normal"/>
    <w:next w:val="Normal"/>
    <w:autoRedefine/>
    <w:uiPriority w:val="39"/>
    <w:rsid w:val="00674AE1"/>
    <w:pPr>
      <w:tabs>
        <w:tab w:val="right" w:leader="dot" w:pos="9350"/>
      </w:tabs>
      <w:spacing w:after="0"/>
      <w:ind w:left="660"/>
    </w:pPr>
    <w:rPr>
      <w:rFonts w:ascii="Calibri" w:hAnsi="Calibri"/>
      <w:noProof/>
      <w:szCs w:val="24"/>
    </w:rPr>
  </w:style>
  <w:style w:type="paragraph" w:styleId="TOC5">
    <w:name w:val="toc 5"/>
    <w:basedOn w:val="Normal"/>
    <w:next w:val="Normal"/>
    <w:autoRedefine/>
    <w:uiPriority w:val="99"/>
    <w:rsid w:val="00674AE1"/>
    <w:pPr>
      <w:spacing w:after="0"/>
      <w:ind w:left="880"/>
    </w:pPr>
    <w:rPr>
      <w:rFonts w:ascii="Calibri" w:hAnsi="Calibri"/>
      <w:sz w:val="18"/>
      <w:szCs w:val="18"/>
    </w:rPr>
  </w:style>
  <w:style w:type="paragraph" w:styleId="TOC6">
    <w:name w:val="toc 6"/>
    <w:basedOn w:val="Normal"/>
    <w:next w:val="Normal"/>
    <w:autoRedefine/>
    <w:uiPriority w:val="99"/>
    <w:rsid w:val="00674AE1"/>
    <w:pPr>
      <w:spacing w:after="0"/>
      <w:ind w:left="1100"/>
    </w:pPr>
    <w:rPr>
      <w:rFonts w:ascii="Calibri" w:hAnsi="Calibri"/>
      <w:sz w:val="18"/>
      <w:szCs w:val="18"/>
    </w:rPr>
  </w:style>
  <w:style w:type="paragraph" w:styleId="TOC7">
    <w:name w:val="toc 7"/>
    <w:basedOn w:val="Normal"/>
    <w:next w:val="Normal"/>
    <w:autoRedefine/>
    <w:uiPriority w:val="99"/>
    <w:rsid w:val="00674AE1"/>
    <w:pPr>
      <w:spacing w:after="0"/>
      <w:ind w:left="1320"/>
    </w:pPr>
    <w:rPr>
      <w:rFonts w:ascii="Calibri" w:hAnsi="Calibri"/>
      <w:sz w:val="18"/>
      <w:szCs w:val="18"/>
    </w:rPr>
  </w:style>
  <w:style w:type="paragraph" w:styleId="TOC8">
    <w:name w:val="toc 8"/>
    <w:basedOn w:val="Normal"/>
    <w:next w:val="Normal"/>
    <w:autoRedefine/>
    <w:uiPriority w:val="99"/>
    <w:rsid w:val="00674AE1"/>
    <w:pPr>
      <w:spacing w:after="0"/>
      <w:ind w:left="1540"/>
    </w:pPr>
    <w:rPr>
      <w:rFonts w:ascii="Calibri" w:hAnsi="Calibri"/>
      <w:sz w:val="18"/>
      <w:szCs w:val="18"/>
    </w:rPr>
  </w:style>
  <w:style w:type="paragraph" w:styleId="TOC9">
    <w:name w:val="toc 9"/>
    <w:basedOn w:val="Normal"/>
    <w:next w:val="Normal"/>
    <w:autoRedefine/>
    <w:uiPriority w:val="99"/>
    <w:rsid w:val="00674AE1"/>
    <w:pPr>
      <w:spacing w:after="0"/>
      <w:ind w:left="1760"/>
    </w:pPr>
    <w:rPr>
      <w:rFonts w:ascii="Calibri" w:hAnsi="Calibri"/>
      <w:sz w:val="18"/>
      <w:szCs w:val="18"/>
    </w:rPr>
  </w:style>
  <w:style w:type="paragraph" w:customStyle="1" w:styleId="TableHeaderText">
    <w:name w:val="Table Header Text"/>
    <w:basedOn w:val="TableText"/>
    <w:uiPriority w:val="99"/>
    <w:rsid w:val="00674AE1"/>
    <w:pPr>
      <w:jc w:val="center"/>
    </w:pPr>
    <w:rPr>
      <w:b/>
    </w:rPr>
  </w:style>
  <w:style w:type="paragraph" w:customStyle="1" w:styleId="TableText">
    <w:name w:val="Table Text"/>
    <w:basedOn w:val="Normal"/>
    <w:uiPriority w:val="99"/>
    <w:rsid w:val="00674AE1"/>
  </w:style>
  <w:style w:type="character" w:styleId="CommentReference">
    <w:name w:val="annotation reference"/>
    <w:basedOn w:val="DefaultParagraphFont"/>
    <w:uiPriority w:val="99"/>
    <w:rsid w:val="00674AE1"/>
    <w:rPr>
      <w:rFonts w:cs="Times New Roman"/>
      <w:sz w:val="16"/>
    </w:rPr>
  </w:style>
  <w:style w:type="character" w:styleId="Hyperlink">
    <w:name w:val="Hyperlink"/>
    <w:basedOn w:val="DefaultParagraphFont"/>
    <w:uiPriority w:val="99"/>
    <w:rsid w:val="00674AE1"/>
    <w:rPr>
      <w:rFonts w:cs="Times New Roman"/>
      <w:color w:val="0000FF"/>
      <w:u w:val="single"/>
    </w:rPr>
  </w:style>
  <w:style w:type="paragraph" w:customStyle="1" w:styleId="NoteText">
    <w:name w:val="Note Text"/>
    <w:basedOn w:val="BlockText"/>
    <w:uiPriority w:val="99"/>
    <w:rsid w:val="00674AE1"/>
    <w:pPr>
      <w:ind w:left="0"/>
      <w:jc w:val="left"/>
    </w:pPr>
    <w:rPr>
      <w:b w:val="0"/>
      <w:sz w:val="22"/>
    </w:rPr>
  </w:style>
  <w:style w:type="paragraph" w:styleId="BodyTextIndent">
    <w:name w:val="Body Text Indent"/>
    <w:basedOn w:val="Normal"/>
    <w:link w:val="BodyTextIndentChar"/>
    <w:uiPriority w:val="99"/>
    <w:rsid w:val="00674AE1"/>
    <w:pPr>
      <w:ind w:left="1440"/>
      <w:jc w:val="both"/>
    </w:pPr>
    <w:rPr>
      <w:rFonts w:cs="Times New Roman"/>
    </w:rPr>
  </w:style>
  <w:style w:type="character" w:customStyle="1" w:styleId="BodyTextIndentChar">
    <w:name w:val="Body Text Indent Char"/>
    <w:basedOn w:val="DefaultParagraphFont"/>
    <w:link w:val="BodyTextIndent"/>
    <w:uiPriority w:val="99"/>
    <w:rsid w:val="00674AE1"/>
    <w:rPr>
      <w:rFonts w:ascii="Tahoma" w:eastAsia="Times New Roman" w:hAnsi="Tahoma" w:cs="Times New Roman"/>
      <w:kern w:val="0"/>
      <w:szCs w:val="20"/>
      <w14:ligatures w14:val="none"/>
    </w:rPr>
  </w:style>
  <w:style w:type="paragraph" w:styleId="BodyText2">
    <w:name w:val="Body Text 2"/>
    <w:basedOn w:val="Normal"/>
    <w:link w:val="BodyText2Char"/>
    <w:uiPriority w:val="99"/>
    <w:rsid w:val="00674AE1"/>
  </w:style>
  <w:style w:type="character" w:customStyle="1" w:styleId="BodyText2Char">
    <w:name w:val="Body Text 2 Char"/>
    <w:basedOn w:val="DefaultParagraphFont"/>
    <w:link w:val="BodyText2"/>
    <w:uiPriority w:val="99"/>
    <w:rsid w:val="00674AE1"/>
    <w:rPr>
      <w:rFonts w:ascii="Tahoma" w:eastAsia="Times New Roman" w:hAnsi="Tahoma" w:cs="Arial"/>
      <w:kern w:val="0"/>
      <w:szCs w:val="20"/>
      <w14:ligatures w14:val="none"/>
    </w:rPr>
  </w:style>
  <w:style w:type="paragraph" w:styleId="BodyTextIndent2">
    <w:name w:val="Body Text Indent 2"/>
    <w:basedOn w:val="Normal"/>
    <w:link w:val="BodyTextIndent2Char"/>
    <w:uiPriority w:val="99"/>
    <w:rsid w:val="00674AE1"/>
    <w:pPr>
      <w:ind w:left="2160"/>
    </w:pPr>
  </w:style>
  <w:style w:type="character" w:customStyle="1" w:styleId="BodyTextIndent2Char">
    <w:name w:val="Body Text Indent 2 Char"/>
    <w:basedOn w:val="DefaultParagraphFont"/>
    <w:link w:val="BodyTextIndent2"/>
    <w:uiPriority w:val="99"/>
    <w:rsid w:val="00674AE1"/>
    <w:rPr>
      <w:rFonts w:ascii="Tahoma" w:eastAsia="Times New Roman" w:hAnsi="Tahoma" w:cs="Arial"/>
      <w:kern w:val="0"/>
      <w:szCs w:val="20"/>
      <w14:ligatures w14:val="none"/>
    </w:rPr>
  </w:style>
  <w:style w:type="paragraph" w:styleId="DocumentMap">
    <w:name w:val="Document Map"/>
    <w:basedOn w:val="Normal"/>
    <w:link w:val="DocumentMapChar"/>
    <w:uiPriority w:val="99"/>
    <w:semiHidden/>
    <w:rsid w:val="00674AE1"/>
    <w:pPr>
      <w:shd w:val="clear" w:color="auto" w:fill="000080"/>
    </w:pPr>
  </w:style>
  <w:style w:type="character" w:customStyle="1" w:styleId="DocumentMapChar">
    <w:name w:val="Document Map Char"/>
    <w:basedOn w:val="DefaultParagraphFont"/>
    <w:link w:val="DocumentMap"/>
    <w:uiPriority w:val="99"/>
    <w:semiHidden/>
    <w:rsid w:val="00674AE1"/>
    <w:rPr>
      <w:rFonts w:ascii="Tahoma" w:eastAsia="Times New Roman" w:hAnsi="Tahoma" w:cs="Arial"/>
      <w:kern w:val="0"/>
      <w:szCs w:val="20"/>
      <w:shd w:val="clear" w:color="auto" w:fill="000080"/>
      <w14:ligatures w14:val="none"/>
    </w:rPr>
  </w:style>
  <w:style w:type="paragraph" w:styleId="CommentText">
    <w:name w:val="annotation text"/>
    <w:basedOn w:val="Normal"/>
    <w:link w:val="CommentTextChar"/>
    <w:uiPriority w:val="99"/>
    <w:rsid w:val="00674AE1"/>
    <w:rPr>
      <w:sz w:val="20"/>
    </w:rPr>
  </w:style>
  <w:style w:type="character" w:customStyle="1" w:styleId="CommentTextChar">
    <w:name w:val="Comment Text Char"/>
    <w:basedOn w:val="DefaultParagraphFont"/>
    <w:link w:val="CommentText"/>
    <w:uiPriority w:val="99"/>
    <w:rsid w:val="00674AE1"/>
    <w:rPr>
      <w:rFonts w:ascii="Tahoma" w:eastAsia="Times New Roman" w:hAnsi="Tahoma" w:cs="Arial"/>
      <w:kern w:val="0"/>
      <w:sz w:val="20"/>
      <w:szCs w:val="20"/>
      <w14:ligatures w14:val="none"/>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F559C0"/>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rsid w:val="00F559C0"/>
    <w:rPr>
      <w:rFonts w:ascii="Tahoma" w:eastAsia="Times New Roman" w:hAnsi="Tahoma" w:cs="Arial"/>
      <w:kern w:val="0"/>
      <w:sz w:val="20"/>
      <w:szCs w:val="20"/>
      <w14:ligatures w14:val="none"/>
    </w:rPr>
  </w:style>
  <w:style w:type="character" w:styleId="FootnoteReference">
    <w:name w:val="footnote reference"/>
    <w:aliases w:val="0 PIER Footnote Reference,o,fr,Style 3,o1,o2,o3,o4,o5,o6,o11,o21,o7,o + Times New Roman,Style 16,fr1,fr2,fr3,Style 13,Style 12,Style 15,Style 17,Style 9,Style 18,(NECG) Footnote Reference,Style 20,Style 7,Styl,Footnote_Reference,FR"/>
    <w:basedOn w:val="DefaultParagraphFont"/>
    <w:uiPriority w:val="99"/>
    <w:qFormat/>
    <w:rsid w:val="00674AE1"/>
    <w:rPr>
      <w:rFonts w:cs="Times New Roman"/>
      <w:vertAlign w:val="superscript"/>
    </w:rPr>
  </w:style>
  <w:style w:type="paragraph" w:styleId="BodyText3">
    <w:name w:val="Body Text 3"/>
    <w:basedOn w:val="Normal"/>
    <w:link w:val="BodyText3Char"/>
    <w:uiPriority w:val="99"/>
    <w:rsid w:val="00674AE1"/>
    <w:pPr>
      <w:suppressAutoHyphens/>
      <w:jc w:val="both"/>
    </w:pPr>
  </w:style>
  <w:style w:type="character" w:customStyle="1" w:styleId="BodyText3Char">
    <w:name w:val="Body Text 3 Char"/>
    <w:basedOn w:val="DefaultParagraphFont"/>
    <w:link w:val="BodyText3"/>
    <w:uiPriority w:val="99"/>
    <w:rsid w:val="00674AE1"/>
    <w:rPr>
      <w:rFonts w:ascii="Tahoma" w:eastAsia="Times New Roman" w:hAnsi="Tahoma" w:cs="Arial"/>
      <w:kern w:val="0"/>
      <w:szCs w:val="20"/>
      <w14:ligatures w14:val="none"/>
    </w:rPr>
  </w:style>
  <w:style w:type="paragraph" w:styleId="BodyTextIndent3">
    <w:name w:val="Body Text Indent 3"/>
    <w:basedOn w:val="Normal"/>
    <w:link w:val="BodyTextIndent3Char"/>
    <w:uiPriority w:val="99"/>
    <w:rsid w:val="00674AE1"/>
    <w:pPr>
      <w:tabs>
        <w:tab w:val="left" w:pos="-720"/>
        <w:tab w:val="left" w:pos="0"/>
      </w:tabs>
      <w:suppressAutoHyphens/>
      <w:spacing w:before="120"/>
      <w:ind w:left="-14" w:firstLine="14"/>
      <w:jc w:val="both"/>
    </w:pPr>
  </w:style>
  <w:style w:type="character" w:customStyle="1" w:styleId="BodyTextIndent3Char">
    <w:name w:val="Body Text Indent 3 Char"/>
    <w:basedOn w:val="DefaultParagraphFont"/>
    <w:link w:val="BodyTextIndent3"/>
    <w:uiPriority w:val="99"/>
    <w:rsid w:val="00674AE1"/>
    <w:rPr>
      <w:rFonts w:ascii="Tahoma" w:eastAsia="Times New Roman" w:hAnsi="Tahoma" w:cs="Arial"/>
      <w:kern w:val="0"/>
      <w:szCs w:val="20"/>
      <w14:ligatures w14:val="none"/>
    </w:rPr>
  </w:style>
  <w:style w:type="paragraph" w:styleId="NormalWeb">
    <w:name w:val="Normal (Web)"/>
    <w:basedOn w:val="Normal"/>
    <w:link w:val="NormalWebChar"/>
    <w:uiPriority w:val="99"/>
    <w:rsid w:val="00674AE1"/>
    <w:pPr>
      <w:spacing w:before="100" w:beforeAutospacing="1" w:after="100" w:afterAutospacing="1"/>
    </w:pPr>
    <w:rPr>
      <w:rFonts w:cs="Times New Roman"/>
    </w:rPr>
  </w:style>
  <w:style w:type="paragraph" w:styleId="BalloonText">
    <w:name w:val="Balloon Text"/>
    <w:basedOn w:val="Normal"/>
    <w:link w:val="BalloonTextChar"/>
    <w:uiPriority w:val="99"/>
    <w:semiHidden/>
    <w:rsid w:val="00674AE1"/>
    <w:rPr>
      <w:rFonts w:cs="Tahoma"/>
      <w:sz w:val="16"/>
      <w:szCs w:val="16"/>
    </w:rPr>
  </w:style>
  <w:style w:type="character" w:customStyle="1" w:styleId="BalloonTextChar">
    <w:name w:val="Balloon Text Char"/>
    <w:basedOn w:val="DefaultParagraphFont"/>
    <w:link w:val="BalloonText"/>
    <w:uiPriority w:val="99"/>
    <w:semiHidden/>
    <w:rsid w:val="00674AE1"/>
    <w:rPr>
      <w:rFonts w:ascii="Tahoma" w:eastAsia="Times New Roman" w:hAnsi="Tahoma" w:cs="Tahoma"/>
      <w:kern w:val="0"/>
      <w:sz w:val="16"/>
      <w:szCs w:val="16"/>
      <w14:ligatures w14:val="none"/>
    </w:rPr>
  </w:style>
  <w:style w:type="table" w:styleId="TableGrid">
    <w:name w:val="Table Grid"/>
    <w:basedOn w:val="TableNormal"/>
    <w:uiPriority w:val="39"/>
    <w:rsid w:val="00674AE1"/>
    <w:pPr>
      <w:spacing w:after="0" w:line="240" w:lineRule="auto"/>
    </w:pPr>
    <w:rPr>
      <w:rFonts w:ascii="Arial" w:eastAsia="Times New Roman" w:hAnsi="Arial" w:cs="Arial"/>
      <w:kern w:val="0"/>
      <w:sz w:val="20"/>
      <w:szCs w:val="20"/>
      <w14:ligatures w14:val="none"/>
    </w:rPr>
    <w:tblPr/>
  </w:style>
  <w:style w:type="character" w:styleId="FollowedHyperlink">
    <w:name w:val="FollowedHyperlink"/>
    <w:basedOn w:val="DefaultParagraphFont"/>
    <w:uiPriority w:val="99"/>
    <w:semiHidden/>
    <w:rsid w:val="00674AE1"/>
    <w:rPr>
      <w:rFonts w:cs="Times New Roman"/>
      <w:color w:val="800080"/>
      <w:u w:val="single"/>
    </w:rPr>
  </w:style>
  <w:style w:type="character" w:styleId="Strong">
    <w:name w:val="Strong"/>
    <w:basedOn w:val="DefaultParagraphFont"/>
    <w:uiPriority w:val="22"/>
    <w:qFormat/>
    <w:rsid w:val="00674AE1"/>
    <w:rPr>
      <w:rFonts w:cs="Times New Roman"/>
      <w:b/>
    </w:rPr>
  </w:style>
  <w:style w:type="paragraph" w:customStyle="1" w:styleId="Technical4">
    <w:name w:val="Technical 4"/>
    <w:uiPriority w:val="99"/>
    <w:rsid w:val="00674AE1"/>
    <w:pPr>
      <w:tabs>
        <w:tab w:val="left" w:pos="-720"/>
      </w:tabs>
      <w:suppressAutoHyphens/>
      <w:spacing w:after="0" w:line="240" w:lineRule="auto"/>
    </w:pPr>
    <w:rPr>
      <w:rFonts w:ascii="Courier New" w:eastAsia="Times New Roman" w:hAnsi="Courier New" w:cs="Times New Roman"/>
      <w:b/>
      <w:kern w:val="0"/>
      <w:szCs w:val="20"/>
      <w14:ligatures w14:val="none"/>
    </w:rPr>
  </w:style>
  <w:style w:type="paragraph" w:styleId="ListBullet">
    <w:name w:val="List Bullet"/>
    <w:basedOn w:val="Normal"/>
    <w:autoRedefine/>
    <w:uiPriority w:val="99"/>
    <w:rsid w:val="00674AE1"/>
    <w:pPr>
      <w:keepLines/>
      <w:widowControl w:val="0"/>
      <w:ind w:left="360"/>
    </w:pPr>
    <w:rPr>
      <w:rFonts w:cs="Times New Roman"/>
      <w:szCs w:val="22"/>
    </w:rPr>
  </w:style>
  <w:style w:type="paragraph" w:styleId="TOCHeading">
    <w:name w:val="TOC Heading"/>
    <w:basedOn w:val="Heading1"/>
    <w:next w:val="Normal"/>
    <w:uiPriority w:val="39"/>
    <w:qFormat/>
    <w:rsid w:val="00674AE1"/>
    <w:pPr>
      <w:spacing w:before="480" w:after="0" w:line="276" w:lineRule="auto"/>
      <w:outlineLvl w:val="9"/>
    </w:pPr>
    <w:rPr>
      <w:rFonts w:ascii="Cambria" w:eastAsiaTheme="minorEastAsia" w:hAnsi="Cambria" w:cs="Times New Roman"/>
      <w:b w:val="0"/>
      <w:bCs/>
      <w:color w:val="365F91"/>
      <w:sz w:val="28"/>
      <w:szCs w:val="28"/>
    </w:rPr>
  </w:style>
  <w:style w:type="character" w:styleId="LineNumber">
    <w:name w:val="line number"/>
    <w:basedOn w:val="DefaultParagraphFont"/>
    <w:uiPriority w:val="99"/>
    <w:rsid w:val="00674AE1"/>
    <w:rPr>
      <w:rFonts w:cs="Times New Roman"/>
    </w:rPr>
  </w:style>
  <w:style w:type="paragraph" w:customStyle="1" w:styleId="StyleHeading2Heading2Char1Heading2CharCharAfter3pt">
    <w:name w:val="Style Heading 2Heading 2 Char1Heading 2 Char Char + After:  3 pt"/>
    <w:basedOn w:val="Heading2"/>
    <w:uiPriority w:val="99"/>
    <w:rsid w:val="00674AE1"/>
    <w:pPr>
      <w:keepLines w:val="0"/>
      <w:spacing w:before="0"/>
    </w:pPr>
    <w:rPr>
      <w:rFonts w:eastAsia="Times New Roman" w:cs="Times New Roman"/>
      <w:b w:val="0"/>
      <w:bCs/>
      <w:smallCaps w:val="0"/>
      <w:color w:val="auto"/>
      <w:szCs w:val="30"/>
    </w:rPr>
  </w:style>
  <w:style w:type="paragraph" w:customStyle="1" w:styleId="StyleHeading2Heading2Char1Heading2CharCharAfter3pt1">
    <w:name w:val="Style Heading 2Heading 2 Char1Heading 2 Char Char + After:  3 pt1"/>
    <w:basedOn w:val="Heading2"/>
    <w:uiPriority w:val="99"/>
    <w:rsid w:val="00674AE1"/>
    <w:pPr>
      <w:keepLines w:val="0"/>
      <w:spacing w:before="0"/>
    </w:pPr>
    <w:rPr>
      <w:rFonts w:eastAsia="Times New Roman" w:cs="Times New Roman"/>
      <w:b w:val="0"/>
      <w:bCs/>
      <w:smallCaps w:val="0"/>
      <w:color w:val="auto"/>
      <w:szCs w:val="30"/>
    </w:rPr>
  </w:style>
  <w:style w:type="paragraph" w:styleId="CommentSubject">
    <w:name w:val="annotation subject"/>
    <w:basedOn w:val="CommentText"/>
    <w:next w:val="CommentText"/>
    <w:link w:val="CommentSubjectChar"/>
    <w:uiPriority w:val="99"/>
    <w:semiHidden/>
    <w:rsid w:val="00674AE1"/>
    <w:rPr>
      <w:rFonts w:cs="Times New Roman"/>
      <w:b/>
      <w:bCs/>
    </w:rPr>
  </w:style>
  <w:style w:type="character" w:customStyle="1" w:styleId="CommentSubjectChar">
    <w:name w:val="Comment Subject Char"/>
    <w:basedOn w:val="CommentTextChar"/>
    <w:link w:val="CommentSubject"/>
    <w:uiPriority w:val="99"/>
    <w:semiHidden/>
    <w:rsid w:val="00674AE1"/>
    <w:rPr>
      <w:rFonts w:ascii="Tahoma" w:eastAsia="Times New Roman" w:hAnsi="Tahoma" w:cs="Times New Roman"/>
      <w:b/>
      <w:bCs/>
      <w:kern w:val="0"/>
      <w:sz w:val="20"/>
      <w:szCs w:val="20"/>
      <w14:ligatures w14:val="none"/>
    </w:rPr>
  </w:style>
  <w:style w:type="paragraph" w:customStyle="1" w:styleId="BulletedList">
    <w:name w:val="Bulleted List"/>
    <w:basedOn w:val="Normal"/>
    <w:uiPriority w:val="99"/>
    <w:rsid w:val="00674AE1"/>
    <w:pPr>
      <w:tabs>
        <w:tab w:val="left" w:pos="288"/>
      </w:tabs>
      <w:ind w:left="1008" w:hanging="360"/>
    </w:pPr>
    <w:rPr>
      <w:rFonts w:cs="Times New Roman"/>
    </w:rPr>
  </w:style>
  <w:style w:type="paragraph" w:customStyle="1" w:styleId="Default">
    <w:name w:val="Default"/>
    <w:rsid w:val="00674AE1"/>
    <w:pPr>
      <w:autoSpaceDE w:val="0"/>
      <w:autoSpaceDN w:val="0"/>
      <w:adjustRightInd w:val="0"/>
      <w:spacing w:after="0" w:line="240" w:lineRule="auto"/>
    </w:pPr>
    <w:rPr>
      <w:rFonts w:ascii="Arial" w:eastAsia="Times New Roman" w:hAnsi="Arial" w:cs="Arial"/>
      <w:color w:val="000000"/>
      <w:kern w:val="0"/>
      <w14:ligatures w14:val="none"/>
    </w:rPr>
  </w:style>
  <w:style w:type="paragraph" w:customStyle="1" w:styleId="CECDelNumber">
    <w:name w:val="CEC Del. Number"/>
    <w:basedOn w:val="Normal"/>
    <w:autoRedefine/>
    <w:uiPriority w:val="99"/>
    <w:rsid w:val="00674AE1"/>
    <w:pPr>
      <w:widowControl w:val="0"/>
      <w:tabs>
        <w:tab w:val="left" w:pos="720"/>
      </w:tabs>
      <w:suppressAutoHyphens/>
      <w:spacing w:after="0"/>
      <w:ind w:left="360"/>
      <w:jc w:val="both"/>
    </w:pPr>
    <w:rPr>
      <w:szCs w:val="22"/>
    </w:rPr>
  </w:style>
  <w:style w:type="paragraph" w:customStyle="1" w:styleId="Attachment">
    <w:name w:val="Attachment"/>
    <w:basedOn w:val="Normal"/>
    <w:uiPriority w:val="99"/>
    <w:rsid w:val="00674AE1"/>
    <w:pPr>
      <w:spacing w:after="0"/>
      <w:jc w:val="center"/>
      <w:outlineLvl w:val="0"/>
    </w:pPr>
    <w:rPr>
      <w:rFonts w:cs="Times New Roman"/>
      <w:b/>
      <w:sz w:val="32"/>
      <w:szCs w:val="32"/>
    </w:rPr>
  </w:style>
  <w:style w:type="paragraph" w:customStyle="1" w:styleId="1AutoList1">
    <w:name w:val="1AutoList1"/>
    <w:uiPriority w:val="99"/>
    <w:rsid w:val="00674AE1"/>
    <w:pPr>
      <w:widowControl w:val="0"/>
      <w:tabs>
        <w:tab w:val="left" w:pos="720"/>
      </w:tabs>
      <w:spacing w:after="0" w:line="240" w:lineRule="auto"/>
      <w:ind w:left="720" w:hanging="720"/>
      <w:jc w:val="both"/>
    </w:pPr>
    <w:rPr>
      <w:rFonts w:ascii="CG Times" w:eastAsia="Times New Roman" w:hAnsi="CG Times" w:cs="Times New Roman"/>
      <w:kern w:val="0"/>
      <w:szCs w:val="20"/>
      <w14:ligatures w14:val="none"/>
    </w:rPr>
  </w:style>
  <w:style w:type="character" w:customStyle="1" w:styleId="NormalWebChar">
    <w:name w:val="Normal (Web) Char"/>
    <w:link w:val="NormalWeb"/>
    <w:uiPriority w:val="99"/>
    <w:locked/>
    <w:rsid w:val="00674AE1"/>
    <w:rPr>
      <w:rFonts w:ascii="Tahoma" w:eastAsia="Times New Roman" w:hAnsi="Tahoma" w:cs="Times New Roman"/>
      <w:kern w:val="0"/>
      <w:szCs w:val="20"/>
      <w14:ligatures w14:val="none"/>
    </w:rPr>
  </w:style>
  <w:style w:type="paragraph" w:styleId="Closing">
    <w:name w:val="Closing"/>
    <w:basedOn w:val="Normal"/>
    <w:link w:val="ClosingChar"/>
    <w:uiPriority w:val="99"/>
    <w:rsid w:val="00674AE1"/>
    <w:pPr>
      <w:keepLines/>
      <w:ind w:left="4320"/>
    </w:pPr>
    <w:rPr>
      <w:rFonts w:ascii="Times New Roman" w:hAnsi="Times New Roman" w:cs="Times New Roman"/>
      <w:sz w:val="20"/>
    </w:rPr>
  </w:style>
  <w:style w:type="character" w:customStyle="1" w:styleId="ClosingChar">
    <w:name w:val="Closing Char"/>
    <w:basedOn w:val="DefaultParagraphFont"/>
    <w:link w:val="Closing"/>
    <w:uiPriority w:val="99"/>
    <w:rsid w:val="00674AE1"/>
    <w:rPr>
      <w:rFonts w:ascii="Times New Roman" w:eastAsia="Times New Roman" w:hAnsi="Times New Roman" w:cs="Times New Roman"/>
      <w:kern w:val="0"/>
      <w:sz w:val="20"/>
      <w:szCs w:val="20"/>
      <w14:ligatures w14:val="none"/>
    </w:rPr>
  </w:style>
  <w:style w:type="paragraph" w:styleId="ListBullet2">
    <w:name w:val="List Bullet 2"/>
    <w:basedOn w:val="Normal"/>
    <w:uiPriority w:val="99"/>
    <w:semiHidden/>
    <w:rsid w:val="00674AE1"/>
    <w:pPr>
      <w:keepLines/>
      <w:numPr>
        <w:numId w:val="1"/>
      </w:numPr>
      <w:ind w:left="0" w:firstLine="0"/>
      <w:contextualSpacing/>
    </w:pPr>
    <w:rPr>
      <w:szCs w:val="22"/>
    </w:rPr>
  </w:style>
  <w:style w:type="paragraph" w:styleId="Revision">
    <w:name w:val="Revision"/>
    <w:hidden/>
    <w:uiPriority w:val="99"/>
    <w:semiHidden/>
    <w:rsid w:val="00674AE1"/>
    <w:pPr>
      <w:spacing w:after="0" w:line="240" w:lineRule="auto"/>
    </w:pPr>
    <w:rPr>
      <w:rFonts w:ascii="Arial" w:eastAsia="Times New Roman" w:hAnsi="Arial" w:cs="Arial"/>
      <w:kern w:val="0"/>
      <w:sz w:val="22"/>
      <w:szCs w:val="20"/>
      <w14:ligatures w14:val="none"/>
    </w:rPr>
  </w:style>
  <w:style w:type="character" w:customStyle="1" w:styleId="answerbagvibrant">
    <w:name w:val="answerbag_vibrant"/>
    <w:basedOn w:val="DefaultParagraphFont"/>
    <w:uiPriority w:val="99"/>
    <w:rsid w:val="00674AE1"/>
    <w:rPr>
      <w:rFonts w:cs="Times New Roman"/>
    </w:rPr>
  </w:style>
  <w:style w:type="character" w:customStyle="1" w:styleId="Style10pt">
    <w:name w:val="Style 10 pt"/>
    <w:basedOn w:val="DefaultParagraphFont"/>
    <w:uiPriority w:val="99"/>
    <w:rsid w:val="00674AE1"/>
    <w:rPr>
      <w:rFonts w:ascii="Arial" w:hAnsi="Arial" w:cs="Times New Roman"/>
      <w:sz w:val="22"/>
    </w:rPr>
  </w:style>
  <w:style w:type="numbering" w:customStyle="1" w:styleId="StyleNumbered11ptLeft025Hanging05">
    <w:name w:val="Style Numbered 11 pt Left:  0.25&quot; Hanging:  0.5&quot;"/>
    <w:rsid w:val="00674AE1"/>
    <w:pPr>
      <w:numPr>
        <w:numId w:val="5"/>
      </w:numPr>
    </w:pPr>
  </w:style>
  <w:style w:type="numbering" w:customStyle="1" w:styleId="RFP2">
    <w:name w:val="RFP2"/>
    <w:rsid w:val="00674AE1"/>
    <w:pPr>
      <w:numPr>
        <w:numId w:val="8"/>
      </w:numPr>
    </w:pPr>
  </w:style>
  <w:style w:type="numbering" w:customStyle="1" w:styleId="RFP">
    <w:name w:val="RFP"/>
    <w:rsid w:val="00674AE1"/>
    <w:pPr>
      <w:numPr>
        <w:numId w:val="7"/>
      </w:numPr>
    </w:pPr>
  </w:style>
  <w:style w:type="numbering" w:customStyle="1" w:styleId="StyleNumberedLeft25Hanging075">
    <w:name w:val="Style Numbered Left: .25&quot; Hanging:  0.75&quot;"/>
    <w:rsid w:val="00674AE1"/>
    <w:pPr>
      <w:numPr>
        <w:numId w:val="6"/>
      </w:numPr>
    </w:pPr>
  </w:style>
  <w:style w:type="paragraph" w:customStyle="1" w:styleId="0PIERNormal">
    <w:name w:val="0  PIER Normal"/>
    <w:link w:val="0PIERNormalChar"/>
    <w:rsid w:val="00674AE1"/>
    <w:pPr>
      <w:spacing w:line="280" w:lineRule="atLeast"/>
    </w:pPr>
    <w:rPr>
      <w:rFonts w:ascii="Palatino Linotype" w:eastAsia="Times New Roman" w:hAnsi="Palatino Linotype" w:cs="Times New Roman"/>
      <w:color w:val="000000"/>
      <w:kern w:val="0"/>
      <w:sz w:val="22"/>
      <w:szCs w:val="20"/>
      <w14:ligatures w14:val="none"/>
    </w:rPr>
  </w:style>
  <w:style w:type="character" w:customStyle="1" w:styleId="0PIERNormalChar">
    <w:name w:val="0  PIER Normal Char"/>
    <w:basedOn w:val="DefaultParagraphFont"/>
    <w:link w:val="0PIERNormal"/>
    <w:locked/>
    <w:rsid w:val="00674AE1"/>
    <w:rPr>
      <w:rFonts w:ascii="Palatino Linotype" w:eastAsia="Times New Roman" w:hAnsi="Palatino Linotype" w:cs="Times New Roman"/>
      <w:color w:val="000000"/>
      <w:kern w:val="0"/>
      <w:sz w:val="22"/>
      <w:szCs w:val="20"/>
      <w14:ligatures w14:val="none"/>
    </w:rPr>
  </w:style>
  <w:style w:type="paragraph" w:customStyle="1" w:styleId="HeadingNew1">
    <w:name w:val="Heading_New1"/>
    <w:basedOn w:val="Normal"/>
    <w:link w:val="HeadingNew1Char"/>
    <w:qFormat/>
    <w:rsid w:val="00674AE1"/>
    <w:pPr>
      <w:jc w:val="both"/>
    </w:pPr>
    <w:rPr>
      <w:b/>
      <w:szCs w:val="22"/>
    </w:rPr>
  </w:style>
  <w:style w:type="character" w:customStyle="1" w:styleId="HeadingNew1Char">
    <w:name w:val="Heading_New1 Char"/>
    <w:basedOn w:val="DefaultParagraphFont"/>
    <w:link w:val="HeadingNew1"/>
    <w:rsid w:val="00674AE1"/>
    <w:rPr>
      <w:rFonts w:ascii="Tahoma" w:eastAsia="Times New Roman" w:hAnsi="Tahoma" w:cs="Arial"/>
      <w:b/>
      <w:kern w:val="0"/>
      <w:szCs w:val="22"/>
      <w14:ligatures w14:val="none"/>
    </w:rPr>
  </w:style>
  <w:style w:type="paragraph" w:customStyle="1" w:styleId="FillIn">
    <w:name w:val="Fill In"/>
    <w:basedOn w:val="Normal"/>
    <w:rsid w:val="00674AE1"/>
    <w:pPr>
      <w:overflowPunct w:val="0"/>
      <w:autoSpaceDE w:val="0"/>
      <w:autoSpaceDN w:val="0"/>
      <w:adjustRightInd w:val="0"/>
      <w:spacing w:after="0" w:line="240" w:lineRule="exact"/>
      <w:textAlignment w:val="baseline"/>
    </w:pPr>
    <w:rPr>
      <w:rFonts w:ascii="Times New Roman" w:hAnsi="Times New Roman" w:cs="Times New Roman"/>
      <w:color w:val="000000"/>
      <w:sz w:val="20"/>
    </w:rPr>
  </w:style>
  <w:style w:type="character" w:customStyle="1" w:styleId="apple-converted-space">
    <w:name w:val="apple-converted-space"/>
    <w:basedOn w:val="DefaultParagraphFont"/>
    <w:rsid w:val="00674AE1"/>
  </w:style>
  <w:style w:type="paragraph" w:styleId="HTMLPreformatted">
    <w:name w:val="HTML Preformatted"/>
    <w:basedOn w:val="Normal"/>
    <w:link w:val="HTMLPreformattedChar"/>
    <w:rsid w:val="00674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rsid w:val="00674AE1"/>
    <w:rPr>
      <w:rFonts w:ascii="Courier New" w:eastAsia="Times New Roman" w:hAnsi="Courier New" w:cs="Courier New"/>
      <w:kern w:val="0"/>
      <w:sz w:val="20"/>
      <w:szCs w:val="20"/>
      <w14:ligatures w14:val="none"/>
    </w:rPr>
  </w:style>
  <w:style w:type="table" w:customStyle="1" w:styleId="TableGrid1">
    <w:name w:val="Table Grid1"/>
    <w:basedOn w:val="TableNormal"/>
    <w:next w:val="TableGrid"/>
    <w:uiPriority w:val="59"/>
    <w:rsid w:val="00674AE1"/>
    <w:pPr>
      <w:spacing w:after="0" w:line="240" w:lineRule="auto"/>
    </w:pPr>
    <w:rPr>
      <w:rFonts w:ascii="Arial" w:eastAsia="Times New Roman" w:hAnsi="Arial" w:cs="Arial"/>
      <w:kern w:val="0"/>
      <w:sz w:val="20"/>
      <w:szCs w:val="20"/>
      <w14:ligatures w14:val="none"/>
    </w:rPr>
    <w:tblPr/>
  </w:style>
  <w:style w:type="table" w:styleId="ListTable3">
    <w:name w:val="List Table 3"/>
    <w:basedOn w:val="TableNormal"/>
    <w:uiPriority w:val="48"/>
    <w:rsid w:val="00674AE1"/>
    <w:pPr>
      <w:spacing w:after="0" w:line="240" w:lineRule="auto"/>
    </w:pPr>
    <w:rPr>
      <w:rFonts w:ascii="Arial" w:eastAsia="Times New Roman" w:hAnsi="Arial" w:cs="Arial"/>
      <w:kern w:val="0"/>
      <w:sz w:val="20"/>
      <w:szCs w:val="20"/>
      <w14:ligatures w14:val="none"/>
    </w:rPr>
    <w:tblPr>
      <w:tblStyleRowBandSize w:val="1"/>
      <w:tblStyleColBandSize w:val="1"/>
    </w:tblPr>
    <w:tcPr>
      <w:tcBorders>
        <w:left w:val="single" w:sz="4" w:space="0" w:color="000000" w:themeColor="text1"/>
        <w:right w:val="single" w:sz="4" w:space="0" w:color="000000" w:themeColor="text1"/>
      </w:tcBorders>
    </w:tcPr>
    <w:tblStylePr w:type="firstRow">
      <w:rPr>
        <w:b/>
        <w:bCs/>
        <w:color w:val="auto"/>
      </w:rPr>
      <w:tblPr/>
      <w:tcPr>
        <w:shd w:val="clear" w:color="auto" w:fill="A6A6A6" w:themeFill="background1" w:themeFillShade="A6"/>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674AE1"/>
    <w:pPr>
      <w:spacing w:after="0" w:line="240" w:lineRule="auto"/>
    </w:pPr>
    <w:rPr>
      <w:rFonts w:ascii="Arial" w:eastAsia="Times New Roman" w:hAnsi="Arial" w:cs="Arial"/>
      <w:kern w:val="0"/>
      <w:sz w:val="20"/>
      <w:szCs w:val="20"/>
      <w14:ligatures w14:val="none"/>
    </w:rPr>
    <w:tblPr>
      <w:tblStyleRowBandSize w:val="1"/>
      <w:tblStyleColBandSize w:val="1"/>
    </w:tblPr>
    <w:tcPr>
      <w:tcBorders>
        <w:bottom w:val="single" w:sz="4" w:space="0" w:color="000000"/>
      </w:tcBorders>
    </w:tc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
    <w:name w:val="List Table 32"/>
    <w:basedOn w:val="TableNormal"/>
    <w:next w:val="ListTable3"/>
    <w:uiPriority w:val="48"/>
    <w:rsid w:val="00674AE1"/>
    <w:pPr>
      <w:spacing w:after="0" w:line="240" w:lineRule="auto"/>
    </w:pPr>
    <w:rPr>
      <w:rFonts w:ascii="Arial" w:eastAsia="Times New Roman" w:hAnsi="Arial" w:cs="Arial"/>
      <w:kern w:val="0"/>
      <w:sz w:val="20"/>
      <w:szCs w:val="20"/>
      <w14:ligatures w14:val="none"/>
    </w:rPr>
    <w:tblPr>
      <w:tblStyleRowBandSize w:val="1"/>
      <w:tblStyleColBandSize w:val="1"/>
    </w:tblPr>
    <w:tcPr>
      <w:tcBorders>
        <w:bottom w:val="single" w:sz="4" w:space="0" w:color="000000"/>
      </w:tcBorders>
    </w:tc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2">
    <w:name w:val="Table Grid2"/>
    <w:basedOn w:val="TableNormal"/>
    <w:next w:val="TableGrid"/>
    <w:uiPriority w:val="59"/>
    <w:rsid w:val="00674AE1"/>
    <w:pPr>
      <w:spacing w:after="0" w:line="240" w:lineRule="auto"/>
    </w:pPr>
    <w:rPr>
      <w:rFonts w:ascii="Arial" w:eastAsia="Times New Roman" w:hAnsi="Arial" w:cs="Arial"/>
      <w:kern w:val="0"/>
      <w:sz w:val="20"/>
      <w:szCs w:val="20"/>
      <w14:ligatures w14:val="none"/>
    </w:rPr>
    <w:tblPr/>
    <w:tblStylePr w:type="firstRow">
      <w:pPr>
        <w:jc w:val="center"/>
      </w:pPr>
      <w:rPr>
        <w:b/>
      </w:rPr>
    </w:tblStylePr>
  </w:style>
  <w:style w:type="table" w:customStyle="1" w:styleId="TableGrid3">
    <w:name w:val="Table Grid3"/>
    <w:basedOn w:val="TableNormal"/>
    <w:next w:val="TableGrid"/>
    <w:uiPriority w:val="59"/>
    <w:rsid w:val="00674AE1"/>
    <w:pPr>
      <w:spacing w:after="0" w:line="240" w:lineRule="auto"/>
    </w:pPr>
    <w:rPr>
      <w:rFonts w:ascii="Arial" w:eastAsia="Times New Roman" w:hAnsi="Arial" w:cs="Arial"/>
      <w:kern w:val="0"/>
      <w:sz w:val="20"/>
      <w:szCs w:val="20"/>
      <w14:ligatures w14:val="none"/>
    </w:rPr>
    <w:tblPr/>
    <w:tblStylePr w:type="firstRow">
      <w:pPr>
        <w:jc w:val="center"/>
      </w:pPr>
      <w:rPr>
        <w:b/>
      </w:rPr>
    </w:tblStylePr>
  </w:style>
  <w:style w:type="paragraph" w:styleId="EndnoteText">
    <w:name w:val="endnote text"/>
    <w:basedOn w:val="Normal"/>
    <w:link w:val="EndnoteTextChar"/>
    <w:uiPriority w:val="99"/>
    <w:semiHidden/>
    <w:unhideWhenUsed/>
    <w:rsid w:val="00674AE1"/>
    <w:pPr>
      <w:spacing w:after="0"/>
    </w:pPr>
    <w:rPr>
      <w:sz w:val="20"/>
    </w:rPr>
  </w:style>
  <w:style w:type="character" w:customStyle="1" w:styleId="EndnoteTextChar">
    <w:name w:val="Endnote Text Char"/>
    <w:basedOn w:val="DefaultParagraphFont"/>
    <w:link w:val="EndnoteText"/>
    <w:uiPriority w:val="99"/>
    <w:semiHidden/>
    <w:rsid w:val="00674AE1"/>
    <w:rPr>
      <w:rFonts w:ascii="Tahoma" w:eastAsia="Times New Roman" w:hAnsi="Tahoma" w:cs="Arial"/>
      <w:kern w:val="0"/>
      <w:sz w:val="20"/>
      <w:szCs w:val="20"/>
      <w14:ligatures w14:val="none"/>
    </w:rPr>
  </w:style>
  <w:style w:type="character" w:styleId="EndnoteReference">
    <w:name w:val="endnote reference"/>
    <w:basedOn w:val="DefaultParagraphFont"/>
    <w:uiPriority w:val="99"/>
    <w:semiHidden/>
    <w:unhideWhenUsed/>
    <w:rsid w:val="00674AE1"/>
    <w:rPr>
      <w:vertAlign w:val="superscript"/>
    </w:rPr>
  </w:style>
  <w:style w:type="table" w:customStyle="1" w:styleId="ListTable33">
    <w:name w:val="List Table 33"/>
    <w:basedOn w:val="TableNormal"/>
    <w:next w:val="ListTable3"/>
    <w:uiPriority w:val="48"/>
    <w:rsid w:val="00674AE1"/>
    <w:pPr>
      <w:spacing w:after="0" w:line="240" w:lineRule="auto"/>
    </w:pPr>
    <w:rPr>
      <w:rFonts w:ascii="Arial" w:eastAsia="Times New Roman" w:hAnsi="Arial" w:cs="Arial"/>
      <w:kern w:val="0"/>
      <w:sz w:val="20"/>
      <w:szCs w:val="20"/>
      <w14:ligatures w14:val="none"/>
    </w:rPr>
    <w:tblPr>
      <w:tblStyleRowBandSize w:val="1"/>
      <w:tblStyleColBandSize w:val="1"/>
    </w:tblPr>
    <w:tcPr>
      <w:tcBorders>
        <w:bottom w:val="single" w:sz="4" w:space="0" w:color="000000"/>
      </w:tcBorders>
    </w:tc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1">
    <w:name w:val="List Table 321"/>
    <w:basedOn w:val="TableNormal"/>
    <w:next w:val="ListTable3"/>
    <w:uiPriority w:val="48"/>
    <w:rsid w:val="00674AE1"/>
    <w:pPr>
      <w:spacing w:after="0" w:line="240" w:lineRule="auto"/>
    </w:pPr>
    <w:rPr>
      <w:rFonts w:ascii="Arial" w:eastAsia="Times New Roman" w:hAnsi="Arial" w:cs="Arial"/>
      <w:kern w:val="0"/>
      <w:sz w:val="20"/>
      <w:szCs w:val="20"/>
      <w14:ligatures w14:val="none"/>
    </w:rPr>
    <w:tblPr>
      <w:tblStyleRowBandSize w:val="1"/>
      <w:tblStyleColBandSize w:val="1"/>
    </w:tblPr>
    <w:tcPr>
      <w:tcBorders>
        <w:bottom w:val="single" w:sz="4" w:space="0" w:color="000000"/>
      </w:tcBorders>
    </w:tc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paragraph">
    <w:name w:val="paragraph"/>
    <w:basedOn w:val="Normal"/>
    <w:rsid w:val="00674AE1"/>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674AE1"/>
  </w:style>
  <w:style w:type="character" w:customStyle="1" w:styleId="eop">
    <w:name w:val="eop"/>
    <w:basedOn w:val="DefaultParagraphFont"/>
    <w:rsid w:val="00674AE1"/>
  </w:style>
  <w:style w:type="character" w:styleId="Mention">
    <w:name w:val="Mention"/>
    <w:basedOn w:val="DefaultParagraphFont"/>
    <w:uiPriority w:val="99"/>
    <w:unhideWhenUsed/>
    <w:rsid w:val="00674AE1"/>
    <w:rPr>
      <w:color w:val="2B579A"/>
      <w:shd w:val="clear" w:color="auto" w:fill="E6E6E6"/>
    </w:rPr>
  </w:style>
  <w:style w:type="character" w:styleId="UnresolvedMention">
    <w:name w:val="Unresolved Mention"/>
    <w:basedOn w:val="DefaultParagraphFont"/>
    <w:uiPriority w:val="99"/>
    <w:semiHidden/>
    <w:unhideWhenUsed/>
    <w:rsid w:val="00674AE1"/>
    <w:rPr>
      <w:color w:val="605E5C"/>
      <w:shd w:val="clear" w:color="auto" w:fill="E1DFDD"/>
    </w:r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674AE1"/>
  </w:style>
  <w:style w:type="character" w:customStyle="1" w:styleId="added-material">
    <w:name w:val="added-material"/>
    <w:basedOn w:val="DefaultParagraphFont"/>
    <w:rsid w:val="00674AE1"/>
  </w:style>
  <w:style w:type="table" w:customStyle="1" w:styleId="TableGrid4">
    <w:name w:val="Table Grid4"/>
    <w:basedOn w:val="TableNormal"/>
    <w:next w:val="TableGrid"/>
    <w:uiPriority w:val="59"/>
    <w:rsid w:val="00674AE1"/>
    <w:pPr>
      <w:spacing w:after="0" w:line="240" w:lineRule="auto"/>
    </w:pPr>
    <w:rPr>
      <w:rFonts w:ascii="Arial" w:eastAsia="Times New Roman" w:hAnsi="Arial" w:cs="Arial"/>
      <w:kern w:val="0"/>
      <w:sz w:val="20"/>
      <w:szCs w:val="20"/>
      <w14:ligatures w14:val="none"/>
    </w:rPr>
    <w:tblPr/>
  </w:style>
  <w:style w:type="character" w:customStyle="1" w:styleId="cf01">
    <w:name w:val="cf01"/>
    <w:basedOn w:val="DefaultParagraphFont"/>
    <w:rsid w:val="00674AE1"/>
    <w:rPr>
      <w:rFonts w:ascii="Segoe UI" w:hAnsi="Segoe UI" w:cs="Segoe UI" w:hint="default"/>
      <w:sz w:val="18"/>
      <w:szCs w:val="18"/>
    </w:rPr>
  </w:style>
  <w:style w:type="character" w:customStyle="1" w:styleId="ui-provider">
    <w:name w:val="ui-provider"/>
    <w:basedOn w:val="DefaultParagraphFont"/>
    <w:rsid w:val="00674AE1"/>
  </w:style>
  <w:style w:type="paragraph" w:customStyle="1" w:styleId="xxmsonormal">
    <w:name w:val="x_xmsonormal"/>
    <w:basedOn w:val="Normal"/>
    <w:rsid w:val="00674AE1"/>
    <w:pPr>
      <w:spacing w:after="0"/>
    </w:pPr>
    <w:rPr>
      <w:rFonts w:ascii="Aptos" w:eastAsiaTheme="minorHAnsi" w:hAnsi="Aptos" w:cs="Aptos"/>
      <w:szCs w:val="24"/>
    </w:rPr>
  </w:style>
  <w:style w:type="paragraph" w:customStyle="1" w:styleId="FigureTitle">
    <w:name w:val="Figure Title"/>
    <w:basedOn w:val="Normal"/>
    <w:link w:val="FigureTitleChar"/>
    <w:qFormat/>
    <w:rsid w:val="00674AE1"/>
    <w:pPr>
      <w:spacing w:before="240" w:after="0"/>
      <w:jc w:val="center"/>
    </w:pPr>
    <w:rPr>
      <w:rFonts w:eastAsia="Arial"/>
      <w:b/>
      <w:bCs/>
    </w:rPr>
  </w:style>
  <w:style w:type="character" w:customStyle="1" w:styleId="FigureTitleChar">
    <w:name w:val="Figure Title Char"/>
    <w:basedOn w:val="DefaultParagraphFont"/>
    <w:link w:val="FigureTitle"/>
    <w:rsid w:val="00674AE1"/>
    <w:rPr>
      <w:rFonts w:ascii="Tahoma" w:eastAsia="Arial" w:hAnsi="Tahoma" w:cs="Arial"/>
      <w:b/>
      <w:bCs/>
      <w:kern w:val="0"/>
      <w:szCs w:val="20"/>
      <w14:ligatures w14:val="none"/>
    </w:rPr>
  </w:style>
  <w:style w:type="paragraph" w:customStyle="1" w:styleId="TableTitle">
    <w:name w:val="Table Title"/>
    <w:basedOn w:val="Normal"/>
    <w:link w:val="TableTitleChar"/>
    <w:autoRedefine/>
    <w:qFormat/>
    <w:rsid w:val="00674AE1"/>
    <w:pPr>
      <w:keepNext/>
      <w:spacing w:before="240" w:after="0"/>
      <w:jc w:val="center"/>
    </w:pPr>
    <w:rPr>
      <w:b/>
    </w:rPr>
  </w:style>
  <w:style w:type="character" w:customStyle="1" w:styleId="TableTitleChar">
    <w:name w:val="Table Title Char"/>
    <w:basedOn w:val="DefaultParagraphFont"/>
    <w:link w:val="TableTitle"/>
    <w:rsid w:val="00674AE1"/>
    <w:rPr>
      <w:rFonts w:ascii="Tahoma" w:eastAsia="Times New Roman" w:hAnsi="Tahoma" w:cs="Arial"/>
      <w:b/>
      <w:kern w:val="0"/>
      <w:szCs w:val="20"/>
      <w14:ligatures w14:val="none"/>
    </w:rPr>
  </w:style>
  <w:style w:type="paragraph" w:styleId="TableofFigures">
    <w:name w:val="table of figures"/>
    <w:basedOn w:val="Normal"/>
    <w:next w:val="Normal"/>
    <w:uiPriority w:val="99"/>
    <w:unhideWhenUsed/>
    <w:rsid w:val="00674AE1"/>
    <w:pPr>
      <w:spacing w:after="0"/>
    </w:pPr>
  </w:style>
  <w:style w:type="numbering" w:customStyle="1" w:styleId="SubListStyle-1">
    <w:name w:val="SubList Style-1"/>
    <w:uiPriority w:val="99"/>
    <w:rsid w:val="00674AE1"/>
    <w:pPr>
      <w:numPr>
        <w:numId w:val="40"/>
      </w:numPr>
    </w:pPr>
  </w:style>
  <w:style w:type="numbering" w:customStyle="1" w:styleId="CurrentList1">
    <w:name w:val="Current List1"/>
    <w:uiPriority w:val="99"/>
    <w:rsid w:val="00674AE1"/>
    <w:pPr>
      <w:numPr>
        <w:numId w:val="36"/>
      </w:numPr>
    </w:pPr>
  </w:style>
  <w:style w:type="paragraph" w:customStyle="1" w:styleId="xmsonormal">
    <w:name w:val="x_msonormal"/>
    <w:basedOn w:val="Normal"/>
    <w:rsid w:val="00674AE1"/>
    <w:pPr>
      <w:spacing w:before="100" w:beforeAutospacing="1" w:after="100" w:afterAutospacing="1"/>
    </w:pPr>
    <w:rPr>
      <w:rFonts w:ascii="Times New Roman" w:eastAsia="SimSun" w:hAnsi="Times New Roman" w:cs="Times New Roman"/>
      <w:szCs w:val="24"/>
    </w:rPr>
  </w:style>
  <w:style w:type="paragraph" w:customStyle="1" w:styleId="Style1">
    <w:name w:val="Style1"/>
    <w:basedOn w:val="Heading3"/>
    <w:next w:val="Heading3"/>
    <w:qFormat/>
    <w:rsid w:val="00674AE1"/>
    <w:pPr>
      <w:numPr>
        <w:numId w:val="0"/>
      </w:numPr>
    </w:pPr>
    <w:rPr>
      <w:rFonts w:eastAsia="Times New Roman" w:cs="Arial"/>
      <w:b w:val="0"/>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rgy.ca.gov/funding-opportunities/solicitations" TargetMode="External"/><Relationship Id="rId18" Type="http://schemas.openxmlformats.org/officeDocument/2006/relationships/header" Target="header3.xml"/><Relationship Id="rId26" Type="http://schemas.openxmlformats.org/officeDocument/2006/relationships/hyperlink" Target="https://energy.zoom.us/u/adjzKUXvoy" TargetMode="External"/><Relationship Id="rId39" Type="http://schemas.openxmlformats.org/officeDocument/2006/relationships/hyperlink" Target="https://ecams.energy.ca.gov" TargetMode="External"/><Relationship Id="rId21" Type="http://schemas.openxmlformats.org/officeDocument/2006/relationships/hyperlink" Target="https://experience.arcgis.com/experience/aa723fdf521a44c9a428f1a46cd38a09" TargetMode="External"/><Relationship Id="rId34" Type="http://schemas.openxmlformats.org/officeDocument/2006/relationships/image" Target="media/image3.png"/><Relationship Id="rId42" Type="http://schemas.openxmlformats.org/officeDocument/2006/relationships/hyperlink" Target="https://www.energy.ca.gov/funding-opportunities/solicitations" TargetMode="External"/><Relationship Id="rId47" Type="http://schemas.openxmlformats.org/officeDocument/2006/relationships/hyperlink" Target="https://vcp.lci.ca.gov/" TargetMode="External"/><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mailto:ECAMS.SalesforceSupport@energy.ca.gov" TargetMode="External"/><Relationship Id="rId11" Type="http://schemas.openxmlformats.org/officeDocument/2006/relationships/image" Target="media/image1.png"/><Relationship Id="rId24" Type="http://schemas.openxmlformats.org/officeDocument/2006/relationships/hyperlink" Target="https://www.energy.ca.gov/funding-opportunities/solicitations" TargetMode="External"/><Relationship Id="rId32" Type="http://schemas.openxmlformats.org/officeDocument/2006/relationships/hyperlink" Target="https://www.energy.ca.gov/funding-opportunities/funding-resources" TargetMode="External"/><Relationship Id="rId37" Type="http://schemas.openxmlformats.org/officeDocument/2006/relationships/hyperlink" Target="https://vcp.lci.ca.gov/" TargetMode="External"/><Relationship Id="rId40" Type="http://schemas.openxmlformats.org/officeDocument/2006/relationships/hyperlink" Target="https://www.energy.ca.gov/funding-opportunities/funding-resources" TargetMode="External"/><Relationship Id="rId45" Type="http://schemas.openxmlformats.org/officeDocument/2006/relationships/hyperlink" Target="https://bondaccountability.resources.ca.gov/docs/Prop4BenefitsAssessment.pdf"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xperience.arcgis.com/experience/aa723fdf521a44c9a428f1a46cd38a09" TargetMode="External"/><Relationship Id="rId28" Type="http://schemas.openxmlformats.org/officeDocument/2006/relationships/hyperlink" Target="https://support.zoom.us/hc/en-us/articles/201362023-System-requirements-for-Windows-macOS-and-Linux" TargetMode="External"/><Relationship Id="rId36" Type="http://schemas.openxmlformats.org/officeDocument/2006/relationships/hyperlink" Target="https://experience.arcgis.com/experience/aa723fdf521a44c9a428f1a46cd38a09" TargetMode="External"/><Relationship Id="rId49" Type="http://schemas.openxmlformats.org/officeDocument/2006/relationships/hyperlink" Target="https://www.energy.ca.gov/publications/2023/distributed-electricity-backup-assets-deba-program-guidelines-first-edition"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empowerinnovation.net/en/custom/funding/view/53978" TargetMode="External"/><Relationship Id="rId44" Type="http://schemas.openxmlformats.org/officeDocument/2006/relationships/hyperlink" Target="https://resources.ca.gov/-/media/CNRA-Website/Files/Bonds/Prop-4/10Oct2025_Climate_Bond_Implementation_Guide.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aiso.com/documents/emergency-notifications-fact-sheet.pdf" TargetMode="External"/><Relationship Id="rId27" Type="http://schemas.openxmlformats.org/officeDocument/2006/relationships/hyperlink" Target="https://energy.zoom.us/download" TargetMode="External"/><Relationship Id="rId30" Type="http://schemas.openxmlformats.org/officeDocument/2006/relationships/hyperlink" Target="https://www.energy.ca.gov/funding-opportunities/solicitations" TargetMode="External"/><Relationship Id="rId35" Type="http://schemas.openxmlformats.org/officeDocument/2006/relationships/hyperlink" Target="https://resources.ca.gov/-/media/CNRA-Website/Files/Bonds/Prop-4/Prop4BenefitsAssessment.pdf" TargetMode="External"/><Relationship Id="rId43" Type="http://schemas.openxmlformats.org/officeDocument/2006/relationships/hyperlink" Target="https://www.energy.ca.gov/funding-opportunities/funding-resources" TargetMode="External"/><Relationship Id="rId48" Type="http://schemas.openxmlformats.org/officeDocument/2006/relationships/hyperlink" Target="https://experience.arcgis.com/experience/aa723fdf521a44c9a428f1a46cd38a09"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yperlink" Target="https://energy.zoom.us/join" TargetMode="External"/><Relationship Id="rId33" Type="http://schemas.openxmlformats.org/officeDocument/2006/relationships/hyperlink" Target="http://www.sos.ca.gov" TargetMode="External"/><Relationship Id="rId38" Type="http://schemas.openxmlformats.org/officeDocument/2006/relationships/hyperlink" Target="https://nahc.ca.gov/wp-content/uploads/2025/02/Local-Government-Tribal-Consultation-List-Request-Form1.pdf" TargetMode="External"/><Relationship Id="rId46" Type="http://schemas.openxmlformats.org/officeDocument/2006/relationships/hyperlink" Target="https://leginfo.legislature.ca.gov/faces/billNavClient.xhtml?bill_id=202320240SB867" TargetMode="External"/><Relationship Id="rId20" Type="http://schemas.openxmlformats.org/officeDocument/2006/relationships/footer" Target="footer4.xml"/><Relationship Id="rId41" Type="http://schemas.openxmlformats.org/officeDocument/2006/relationships/hyperlink" Target="mailto:ECAMS.SalesforceSupport@energy.ca.gov"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resources.ca.gov/-/media/CNRA-Website/Files/Bonds/Prop-4/Prop4BenefitsAssessment.pdf" TargetMode="External"/><Relationship Id="rId13" Type="http://schemas.openxmlformats.org/officeDocument/2006/relationships/hyperlink" Target="https://resources.ca.gov/-/media/CNRA-Website/Files/Bonds/Prop-4/Prop4BenefitsAssessment.pdf" TargetMode="External"/><Relationship Id="rId3" Type="http://schemas.openxmlformats.org/officeDocument/2006/relationships/hyperlink" Target="https://law.justia.com/codes/california/code-puc/division-4-1/chapter-4-5/section-8370/" TargetMode="External"/><Relationship Id="rId7" Type="http://schemas.openxmlformats.org/officeDocument/2006/relationships/hyperlink" Target="https://leginfo.legislature.ca.gov/faces/billNavClient.xhtml?bill_id=202320240SB867" TargetMode="External"/><Relationship Id="rId12" Type="http://schemas.openxmlformats.org/officeDocument/2006/relationships/hyperlink" Target="https://www.gov.ca.gov/wp-content/uploads/2025/01/EO-N-4-25-Rebuilding-Final-signed.pdf" TargetMode="External"/><Relationship Id="rId2" Type="http://schemas.openxmlformats.org/officeDocument/2006/relationships/hyperlink" Target="https://www.energy.ca.gov/resources/energy-glossary" TargetMode="External"/><Relationship Id="rId1" Type="http://schemas.openxmlformats.org/officeDocument/2006/relationships/hyperlink" Target="https://leginfo.legislature.ca.gov/faces/billNavClient.xhtml?bill_id=202320240SB867" TargetMode="External"/><Relationship Id="rId6" Type="http://schemas.openxmlformats.org/officeDocument/2006/relationships/hyperlink" Target="https://www.caiso.com/Documents/2017BaselineAccuracyWorkGroupFinalProposalNexant.pdf" TargetMode="External"/><Relationship Id="rId11" Type="http://schemas.openxmlformats.org/officeDocument/2006/relationships/hyperlink" Target="https://ccc.ca.gov/collaborate/consultation/" TargetMode="External"/><Relationship Id="rId5" Type="http://schemas.openxmlformats.org/officeDocument/2006/relationships/hyperlink" Target="https://www.cpuc.ca.gov/-/media/cpuc-website/divisions/energy-division/documents/demand-response/demand-response-workshops/advanced-der---demand-flexibility-management/ed-white-paper---advanced-strategies-for-demand-flexibility-management.pdf" TargetMode="External"/><Relationship Id="rId10" Type="http://schemas.openxmlformats.org/officeDocument/2006/relationships/hyperlink" Target="https://leginfo.legislature.ca.gov/faces/billNavClient.xhtml?bill_id=202320240SB867" TargetMode="External"/><Relationship Id="rId4" Type="http://schemas.openxmlformats.org/officeDocument/2006/relationships/hyperlink" Target="https://www.cpuc.ca.gov/Rule21/" TargetMode="External"/><Relationship Id="rId9" Type="http://schemas.openxmlformats.org/officeDocument/2006/relationships/hyperlink" Target="https://leginfo.legislature.ca.gov/faces/billNavClient.xhtml?bill_id=202520260SB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F34C21-3F7B-4E9F-82D6-38CEAB4FBC15}">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2.xml><?xml version="1.0" encoding="utf-8"?>
<ds:datastoreItem xmlns:ds="http://schemas.openxmlformats.org/officeDocument/2006/customXml" ds:itemID="{C24A0457-90FC-40A7-BBE7-90F901D0C5BA}">
  <ds:schemaRefs>
    <ds:schemaRef ds:uri="http://schemas.openxmlformats.org/officeDocument/2006/bibliography"/>
  </ds:schemaRefs>
</ds:datastoreItem>
</file>

<file path=customXml/itemProps3.xml><?xml version="1.0" encoding="utf-8"?>
<ds:datastoreItem xmlns:ds="http://schemas.openxmlformats.org/officeDocument/2006/customXml" ds:itemID="{258BD466-309D-4751-BF2C-3A1E7264A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AD508B-7641-423F-AEA4-D55182C8CF2A}">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52</TotalTime>
  <Pages>76</Pages>
  <Words>25333</Words>
  <Characters>144400</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169395</CharactersWithSpaces>
  <SharedDoc>false</SharedDoc>
  <HLinks>
    <vt:vector size="318" baseType="variant">
      <vt:variant>
        <vt:i4>2359417</vt:i4>
      </vt:variant>
      <vt:variant>
        <vt:i4>495</vt:i4>
      </vt:variant>
      <vt:variant>
        <vt:i4>0</vt:i4>
      </vt:variant>
      <vt:variant>
        <vt:i4>5</vt:i4>
      </vt:variant>
      <vt:variant>
        <vt:lpwstr>https://www.energy.ca.gov/publications/2023/distributed-electricity-backup-assets-deba-program-guidelines-first-edition</vt:lpwstr>
      </vt:variant>
      <vt:variant>
        <vt:lpwstr/>
      </vt:variant>
      <vt:variant>
        <vt:i4>2359417</vt:i4>
      </vt:variant>
      <vt:variant>
        <vt:i4>492</vt:i4>
      </vt:variant>
      <vt:variant>
        <vt:i4>0</vt:i4>
      </vt:variant>
      <vt:variant>
        <vt:i4>5</vt:i4>
      </vt:variant>
      <vt:variant>
        <vt:lpwstr>https://www.energy.ca.gov/publications/2023/distributed-electricity-backup-assets-deba-program-guidelines-first-edition</vt:lpwstr>
      </vt:variant>
      <vt:variant>
        <vt:lpwstr/>
      </vt:variant>
      <vt:variant>
        <vt:i4>4718620</vt:i4>
      </vt:variant>
      <vt:variant>
        <vt:i4>489</vt:i4>
      </vt:variant>
      <vt:variant>
        <vt:i4>0</vt:i4>
      </vt:variant>
      <vt:variant>
        <vt:i4>5</vt:i4>
      </vt:variant>
      <vt:variant>
        <vt:lpwstr>https://experience.arcgis.com/experience/aa723fdf521a44c9a428f1a46cd38a09</vt:lpwstr>
      </vt:variant>
      <vt:variant>
        <vt:lpwstr/>
      </vt:variant>
      <vt:variant>
        <vt:i4>6357089</vt:i4>
      </vt:variant>
      <vt:variant>
        <vt:i4>486</vt:i4>
      </vt:variant>
      <vt:variant>
        <vt:i4>0</vt:i4>
      </vt:variant>
      <vt:variant>
        <vt:i4>5</vt:i4>
      </vt:variant>
      <vt:variant>
        <vt:lpwstr>https://vcp.lci.ca.gov/</vt:lpwstr>
      </vt:variant>
      <vt:variant>
        <vt:lpwstr/>
      </vt:variant>
      <vt:variant>
        <vt:i4>4259948</vt:i4>
      </vt:variant>
      <vt:variant>
        <vt:i4>483</vt:i4>
      </vt:variant>
      <vt:variant>
        <vt:i4>0</vt:i4>
      </vt:variant>
      <vt:variant>
        <vt:i4>5</vt:i4>
      </vt:variant>
      <vt:variant>
        <vt:lpwstr>https://leginfo.legislature.ca.gov/faces/billNavClient.xhtml?bill_id=202320240SB867</vt:lpwstr>
      </vt:variant>
      <vt:variant>
        <vt:lpwstr/>
      </vt:variant>
      <vt:variant>
        <vt:i4>4587588</vt:i4>
      </vt:variant>
      <vt:variant>
        <vt:i4>480</vt:i4>
      </vt:variant>
      <vt:variant>
        <vt:i4>0</vt:i4>
      </vt:variant>
      <vt:variant>
        <vt:i4>5</vt:i4>
      </vt:variant>
      <vt:variant>
        <vt:lpwstr>https://bondaccountability.resources.ca.gov/docs/Prop4BenefitsAssessment.pdf</vt:lpwstr>
      </vt:variant>
      <vt:variant>
        <vt:lpwstr/>
      </vt:variant>
      <vt:variant>
        <vt:i4>3932279</vt:i4>
      </vt:variant>
      <vt:variant>
        <vt:i4>477</vt:i4>
      </vt:variant>
      <vt:variant>
        <vt:i4>0</vt:i4>
      </vt:variant>
      <vt:variant>
        <vt:i4>5</vt:i4>
      </vt:variant>
      <vt:variant>
        <vt:lpwstr>https://resources.ca.gov/-/media/CNRA-Website/Files/Bonds/Prop-4/10Oct2025_Climate_Bond_Implementation_Guide.pdf</vt:lpwstr>
      </vt:variant>
      <vt:variant>
        <vt:lpwstr/>
      </vt:variant>
      <vt:variant>
        <vt:i4>393221</vt:i4>
      </vt:variant>
      <vt:variant>
        <vt:i4>474</vt:i4>
      </vt:variant>
      <vt:variant>
        <vt:i4>0</vt:i4>
      </vt:variant>
      <vt:variant>
        <vt:i4>5</vt:i4>
      </vt:variant>
      <vt:variant>
        <vt:lpwstr>https://www.energy.ca.gov/funding-opportunities/funding-resources</vt:lpwstr>
      </vt:variant>
      <vt:variant>
        <vt:lpwstr/>
      </vt:variant>
      <vt:variant>
        <vt:i4>4194311</vt:i4>
      </vt:variant>
      <vt:variant>
        <vt:i4>471</vt:i4>
      </vt:variant>
      <vt:variant>
        <vt:i4>0</vt:i4>
      </vt:variant>
      <vt:variant>
        <vt:i4>5</vt:i4>
      </vt:variant>
      <vt:variant>
        <vt:lpwstr>https://www.energy.ca.gov/funding-opportunities/solicitations</vt:lpwstr>
      </vt:variant>
      <vt:variant>
        <vt:lpwstr/>
      </vt:variant>
      <vt:variant>
        <vt:i4>5505135</vt:i4>
      </vt:variant>
      <vt:variant>
        <vt:i4>390</vt:i4>
      </vt:variant>
      <vt:variant>
        <vt:i4>0</vt:i4>
      </vt:variant>
      <vt:variant>
        <vt:i4>5</vt:i4>
      </vt:variant>
      <vt:variant>
        <vt:lpwstr>mailto:ECAMS.SalesforceSupport@energy.ca.gov</vt:lpwstr>
      </vt:variant>
      <vt:variant>
        <vt:lpwstr/>
      </vt:variant>
      <vt:variant>
        <vt:i4>393221</vt:i4>
      </vt:variant>
      <vt:variant>
        <vt:i4>387</vt:i4>
      </vt:variant>
      <vt:variant>
        <vt:i4>0</vt:i4>
      </vt:variant>
      <vt:variant>
        <vt:i4>5</vt:i4>
      </vt:variant>
      <vt:variant>
        <vt:lpwstr>https://www.energy.ca.gov/funding-opportunities/funding-resources</vt:lpwstr>
      </vt:variant>
      <vt:variant>
        <vt:lpwstr/>
      </vt:variant>
      <vt:variant>
        <vt:i4>5832718</vt:i4>
      </vt:variant>
      <vt:variant>
        <vt:i4>384</vt:i4>
      </vt:variant>
      <vt:variant>
        <vt:i4>0</vt:i4>
      </vt:variant>
      <vt:variant>
        <vt:i4>5</vt:i4>
      </vt:variant>
      <vt:variant>
        <vt:lpwstr>https://ecams.energy.ca.gov/</vt:lpwstr>
      </vt:variant>
      <vt:variant>
        <vt:lpwstr/>
      </vt:variant>
      <vt:variant>
        <vt:i4>3145843</vt:i4>
      </vt:variant>
      <vt:variant>
        <vt:i4>381</vt:i4>
      </vt:variant>
      <vt:variant>
        <vt:i4>0</vt:i4>
      </vt:variant>
      <vt:variant>
        <vt:i4>5</vt:i4>
      </vt:variant>
      <vt:variant>
        <vt:lpwstr>https://nahc.ca.gov/wp-content/uploads/2025/02/Local-Government-Tribal-Consultation-List-Request-Form1.pdf</vt:lpwstr>
      </vt:variant>
      <vt:variant>
        <vt:lpwstr/>
      </vt:variant>
      <vt:variant>
        <vt:i4>6357089</vt:i4>
      </vt:variant>
      <vt:variant>
        <vt:i4>378</vt:i4>
      </vt:variant>
      <vt:variant>
        <vt:i4>0</vt:i4>
      </vt:variant>
      <vt:variant>
        <vt:i4>5</vt:i4>
      </vt:variant>
      <vt:variant>
        <vt:lpwstr>https://vcp.lci.ca.gov/</vt:lpwstr>
      </vt:variant>
      <vt:variant>
        <vt:lpwstr/>
      </vt:variant>
      <vt:variant>
        <vt:i4>4718620</vt:i4>
      </vt:variant>
      <vt:variant>
        <vt:i4>375</vt:i4>
      </vt:variant>
      <vt:variant>
        <vt:i4>0</vt:i4>
      </vt:variant>
      <vt:variant>
        <vt:i4>5</vt:i4>
      </vt:variant>
      <vt:variant>
        <vt:lpwstr>https://experience.arcgis.com/experience/aa723fdf521a44c9a428f1a46cd38a09</vt:lpwstr>
      </vt:variant>
      <vt:variant>
        <vt:lpwstr/>
      </vt:variant>
      <vt:variant>
        <vt:i4>262172</vt:i4>
      </vt:variant>
      <vt:variant>
        <vt:i4>372</vt:i4>
      </vt:variant>
      <vt:variant>
        <vt:i4>0</vt:i4>
      </vt:variant>
      <vt:variant>
        <vt:i4>5</vt:i4>
      </vt:variant>
      <vt:variant>
        <vt:lpwstr>https://resources.ca.gov/-/media/CNRA-Website/Files/Bonds/Prop-4/Prop4BenefitsAssessment.pdf</vt:lpwstr>
      </vt:variant>
      <vt:variant>
        <vt:lpwstr/>
      </vt:variant>
      <vt:variant>
        <vt:i4>2490465</vt:i4>
      </vt:variant>
      <vt:variant>
        <vt:i4>369</vt:i4>
      </vt:variant>
      <vt:variant>
        <vt:i4>0</vt:i4>
      </vt:variant>
      <vt:variant>
        <vt:i4>5</vt:i4>
      </vt:variant>
      <vt:variant>
        <vt:lpwstr>http://www.sos.ca.gov/</vt:lpwstr>
      </vt:variant>
      <vt:variant>
        <vt:lpwstr/>
      </vt:variant>
      <vt:variant>
        <vt:i4>393221</vt:i4>
      </vt:variant>
      <vt:variant>
        <vt:i4>366</vt:i4>
      </vt:variant>
      <vt:variant>
        <vt:i4>0</vt:i4>
      </vt:variant>
      <vt:variant>
        <vt:i4>5</vt:i4>
      </vt:variant>
      <vt:variant>
        <vt:lpwstr>https://www.energy.ca.gov/funding-opportunities/funding-resources</vt:lpwstr>
      </vt:variant>
      <vt:variant>
        <vt:lpwstr/>
      </vt:variant>
      <vt:variant>
        <vt:i4>6619189</vt:i4>
      </vt:variant>
      <vt:variant>
        <vt:i4>363</vt:i4>
      </vt:variant>
      <vt:variant>
        <vt:i4>0</vt:i4>
      </vt:variant>
      <vt:variant>
        <vt:i4>5</vt:i4>
      </vt:variant>
      <vt:variant>
        <vt:lpwstr>https://www.empowerinnovation.net/en/custom/funding/view/53978</vt:lpwstr>
      </vt:variant>
      <vt:variant>
        <vt:lpwstr/>
      </vt:variant>
      <vt:variant>
        <vt:i4>4194311</vt:i4>
      </vt:variant>
      <vt:variant>
        <vt:i4>360</vt:i4>
      </vt:variant>
      <vt:variant>
        <vt:i4>0</vt:i4>
      </vt:variant>
      <vt:variant>
        <vt:i4>5</vt:i4>
      </vt:variant>
      <vt:variant>
        <vt:lpwstr>https://www.energy.ca.gov/funding-opportunities/solicitations</vt:lpwstr>
      </vt:variant>
      <vt:variant>
        <vt:lpwstr/>
      </vt:variant>
      <vt:variant>
        <vt:i4>5505135</vt:i4>
      </vt:variant>
      <vt:variant>
        <vt:i4>357</vt:i4>
      </vt:variant>
      <vt:variant>
        <vt:i4>0</vt:i4>
      </vt:variant>
      <vt:variant>
        <vt:i4>5</vt:i4>
      </vt:variant>
      <vt:variant>
        <vt:lpwstr>mailto:ECAMS.SalesforceSupport@energy.ca.gov</vt:lpwstr>
      </vt:variant>
      <vt:variant>
        <vt:lpwstr/>
      </vt:variant>
      <vt:variant>
        <vt:i4>6291552</vt:i4>
      </vt:variant>
      <vt:variant>
        <vt:i4>354</vt:i4>
      </vt:variant>
      <vt:variant>
        <vt:i4>0</vt:i4>
      </vt:variant>
      <vt:variant>
        <vt:i4>5</vt:i4>
      </vt:variant>
      <vt:variant>
        <vt:lpwstr>https://support.zoom.us/hc/en-us/articles/201362023-System-requirements-for-Windows-macOS-and-Linux</vt:lpwstr>
      </vt:variant>
      <vt:variant>
        <vt:lpwstr/>
      </vt:variant>
      <vt:variant>
        <vt:i4>2228287</vt:i4>
      </vt:variant>
      <vt:variant>
        <vt:i4>351</vt:i4>
      </vt:variant>
      <vt:variant>
        <vt:i4>0</vt:i4>
      </vt:variant>
      <vt:variant>
        <vt:i4>5</vt:i4>
      </vt:variant>
      <vt:variant>
        <vt:lpwstr>https://energy.zoom.us/download</vt:lpwstr>
      </vt:variant>
      <vt:variant>
        <vt:lpwstr/>
      </vt:variant>
      <vt:variant>
        <vt:i4>4063331</vt:i4>
      </vt:variant>
      <vt:variant>
        <vt:i4>348</vt:i4>
      </vt:variant>
      <vt:variant>
        <vt:i4>0</vt:i4>
      </vt:variant>
      <vt:variant>
        <vt:i4>5</vt:i4>
      </vt:variant>
      <vt:variant>
        <vt:lpwstr>https://energy.zoom.us/u/adjzKUXvoy</vt:lpwstr>
      </vt:variant>
      <vt:variant>
        <vt:lpwstr/>
      </vt:variant>
      <vt:variant>
        <vt:i4>4128830</vt:i4>
      </vt:variant>
      <vt:variant>
        <vt:i4>345</vt:i4>
      </vt:variant>
      <vt:variant>
        <vt:i4>0</vt:i4>
      </vt:variant>
      <vt:variant>
        <vt:i4>5</vt:i4>
      </vt:variant>
      <vt:variant>
        <vt:lpwstr>https://energy.zoom.us/join</vt:lpwstr>
      </vt:variant>
      <vt:variant>
        <vt:lpwstr/>
      </vt:variant>
      <vt:variant>
        <vt:i4>4194311</vt:i4>
      </vt:variant>
      <vt:variant>
        <vt:i4>342</vt:i4>
      </vt:variant>
      <vt:variant>
        <vt:i4>0</vt:i4>
      </vt:variant>
      <vt:variant>
        <vt:i4>5</vt:i4>
      </vt:variant>
      <vt:variant>
        <vt:lpwstr>https://www.energy.ca.gov/funding-opportunities/solicitations</vt:lpwstr>
      </vt:variant>
      <vt:variant>
        <vt:lpwstr/>
      </vt:variant>
      <vt:variant>
        <vt:i4>4718620</vt:i4>
      </vt:variant>
      <vt:variant>
        <vt:i4>339</vt:i4>
      </vt:variant>
      <vt:variant>
        <vt:i4>0</vt:i4>
      </vt:variant>
      <vt:variant>
        <vt:i4>5</vt:i4>
      </vt:variant>
      <vt:variant>
        <vt:lpwstr>https://experience.arcgis.com/experience/aa723fdf521a44c9a428f1a46cd38a09</vt:lpwstr>
      </vt:variant>
      <vt:variant>
        <vt:lpwstr/>
      </vt:variant>
      <vt:variant>
        <vt:i4>6357044</vt:i4>
      </vt:variant>
      <vt:variant>
        <vt:i4>336</vt:i4>
      </vt:variant>
      <vt:variant>
        <vt:i4>0</vt:i4>
      </vt:variant>
      <vt:variant>
        <vt:i4>5</vt:i4>
      </vt:variant>
      <vt:variant>
        <vt:lpwstr>https://www.caiso.com/documents/emergency-notifications-fact-sheet.pdf</vt:lpwstr>
      </vt:variant>
      <vt:variant>
        <vt:lpwstr/>
      </vt:variant>
      <vt:variant>
        <vt:i4>4718620</vt:i4>
      </vt:variant>
      <vt:variant>
        <vt:i4>333</vt:i4>
      </vt:variant>
      <vt:variant>
        <vt:i4>0</vt:i4>
      </vt:variant>
      <vt:variant>
        <vt:i4>5</vt:i4>
      </vt:variant>
      <vt:variant>
        <vt:lpwstr>https://experience.arcgis.com/experience/aa723fdf521a44c9a428f1a46cd38a09</vt:lpwstr>
      </vt:variant>
      <vt:variant>
        <vt:lpwstr/>
      </vt:variant>
      <vt:variant>
        <vt:i4>1966141</vt:i4>
      </vt:variant>
      <vt:variant>
        <vt:i4>326</vt:i4>
      </vt:variant>
      <vt:variant>
        <vt:i4>0</vt:i4>
      </vt:variant>
      <vt:variant>
        <vt:i4>5</vt:i4>
      </vt:variant>
      <vt:variant>
        <vt:lpwstr/>
      </vt:variant>
      <vt:variant>
        <vt:lpwstr>_Toc243548802</vt:lpwstr>
      </vt:variant>
      <vt:variant>
        <vt:i4>1966141</vt:i4>
      </vt:variant>
      <vt:variant>
        <vt:i4>320</vt:i4>
      </vt:variant>
      <vt:variant>
        <vt:i4>0</vt:i4>
      </vt:variant>
      <vt:variant>
        <vt:i4>5</vt:i4>
      </vt:variant>
      <vt:variant>
        <vt:lpwstr/>
      </vt:variant>
      <vt:variant>
        <vt:lpwstr>_Toc243548801</vt:lpwstr>
      </vt:variant>
      <vt:variant>
        <vt:i4>1966141</vt:i4>
      </vt:variant>
      <vt:variant>
        <vt:i4>314</vt:i4>
      </vt:variant>
      <vt:variant>
        <vt:i4>0</vt:i4>
      </vt:variant>
      <vt:variant>
        <vt:i4>5</vt:i4>
      </vt:variant>
      <vt:variant>
        <vt:lpwstr/>
      </vt:variant>
      <vt:variant>
        <vt:lpwstr>_Toc243548800</vt:lpwstr>
      </vt:variant>
      <vt:variant>
        <vt:i4>1507378</vt:i4>
      </vt:variant>
      <vt:variant>
        <vt:i4>308</vt:i4>
      </vt:variant>
      <vt:variant>
        <vt:i4>0</vt:i4>
      </vt:variant>
      <vt:variant>
        <vt:i4>5</vt:i4>
      </vt:variant>
      <vt:variant>
        <vt:lpwstr/>
      </vt:variant>
      <vt:variant>
        <vt:lpwstr>_Toc243548799</vt:lpwstr>
      </vt:variant>
      <vt:variant>
        <vt:i4>1507378</vt:i4>
      </vt:variant>
      <vt:variant>
        <vt:i4>302</vt:i4>
      </vt:variant>
      <vt:variant>
        <vt:i4>0</vt:i4>
      </vt:variant>
      <vt:variant>
        <vt:i4>5</vt:i4>
      </vt:variant>
      <vt:variant>
        <vt:lpwstr/>
      </vt:variant>
      <vt:variant>
        <vt:lpwstr>_Toc243548798</vt:lpwstr>
      </vt:variant>
      <vt:variant>
        <vt:i4>1507378</vt:i4>
      </vt:variant>
      <vt:variant>
        <vt:i4>296</vt:i4>
      </vt:variant>
      <vt:variant>
        <vt:i4>0</vt:i4>
      </vt:variant>
      <vt:variant>
        <vt:i4>5</vt:i4>
      </vt:variant>
      <vt:variant>
        <vt:lpwstr/>
      </vt:variant>
      <vt:variant>
        <vt:lpwstr>_Toc243548797</vt:lpwstr>
      </vt:variant>
      <vt:variant>
        <vt:i4>1507378</vt:i4>
      </vt:variant>
      <vt:variant>
        <vt:i4>290</vt:i4>
      </vt:variant>
      <vt:variant>
        <vt:i4>0</vt:i4>
      </vt:variant>
      <vt:variant>
        <vt:i4>5</vt:i4>
      </vt:variant>
      <vt:variant>
        <vt:lpwstr/>
      </vt:variant>
      <vt:variant>
        <vt:lpwstr>_Toc243548796</vt:lpwstr>
      </vt:variant>
      <vt:variant>
        <vt:i4>1507378</vt:i4>
      </vt:variant>
      <vt:variant>
        <vt:i4>284</vt:i4>
      </vt:variant>
      <vt:variant>
        <vt:i4>0</vt:i4>
      </vt:variant>
      <vt:variant>
        <vt:i4>5</vt:i4>
      </vt:variant>
      <vt:variant>
        <vt:lpwstr/>
      </vt:variant>
      <vt:variant>
        <vt:lpwstr>_Toc243548795</vt:lpwstr>
      </vt:variant>
      <vt:variant>
        <vt:i4>1507378</vt:i4>
      </vt:variant>
      <vt:variant>
        <vt:i4>278</vt:i4>
      </vt:variant>
      <vt:variant>
        <vt:i4>0</vt:i4>
      </vt:variant>
      <vt:variant>
        <vt:i4>5</vt:i4>
      </vt:variant>
      <vt:variant>
        <vt:lpwstr/>
      </vt:variant>
      <vt:variant>
        <vt:lpwstr>_Toc243548794</vt:lpwstr>
      </vt:variant>
      <vt:variant>
        <vt:i4>1507378</vt:i4>
      </vt:variant>
      <vt:variant>
        <vt:i4>272</vt:i4>
      </vt:variant>
      <vt:variant>
        <vt:i4>0</vt:i4>
      </vt:variant>
      <vt:variant>
        <vt:i4>5</vt:i4>
      </vt:variant>
      <vt:variant>
        <vt:lpwstr/>
      </vt:variant>
      <vt:variant>
        <vt:lpwstr>_Toc243548793</vt:lpwstr>
      </vt:variant>
      <vt:variant>
        <vt:i4>4194311</vt:i4>
      </vt:variant>
      <vt:variant>
        <vt:i4>0</vt:i4>
      </vt:variant>
      <vt:variant>
        <vt:i4>0</vt:i4>
      </vt:variant>
      <vt:variant>
        <vt:i4>5</vt:i4>
      </vt:variant>
      <vt:variant>
        <vt:lpwstr>https://www.energy.ca.gov/funding-opportunities/solicitations</vt:lpwstr>
      </vt:variant>
      <vt:variant>
        <vt:lpwstr/>
      </vt:variant>
      <vt:variant>
        <vt:i4>262172</vt:i4>
      </vt:variant>
      <vt:variant>
        <vt:i4>36</vt:i4>
      </vt:variant>
      <vt:variant>
        <vt:i4>0</vt:i4>
      </vt:variant>
      <vt:variant>
        <vt:i4>5</vt:i4>
      </vt:variant>
      <vt:variant>
        <vt:lpwstr>https://resources.ca.gov/-/media/CNRA-Website/Files/Bonds/Prop-4/Prop4BenefitsAssessment.pdf</vt:lpwstr>
      </vt:variant>
      <vt:variant>
        <vt:lpwstr/>
      </vt:variant>
      <vt:variant>
        <vt:i4>3145776</vt:i4>
      </vt:variant>
      <vt:variant>
        <vt:i4>33</vt:i4>
      </vt:variant>
      <vt:variant>
        <vt:i4>0</vt:i4>
      </vt:variant>
      <vt:variant>
        <vt:i4>5</vt:i4>
      </vt:variant>
      <vt:variant>
        <vt:lpwstr>https://www.gov.ca.gov/wp-content/uploads/2025/01/EO-N-4-25-Rebuilding-Final-signed.pdf</vt:lpwstr>
      </vt:variant>
      <vt:variant>
        <vt:lpwstr/>
      </vt:variant>
      <vt:variant>
        <vt:i4>1114131</vt:i4>
      </vt:variant>
      <vt:variant>
        <vt:i4>30</vt:i4>
      </vt:variant>
      <vt:variant>
        <vt:i4>0</vt:i4>
      </vt:variant>
      <vt:variant>
        <vt:i4>5</vt:i4>
      </vt:variant>
      <vt:variant>
        <vt:lpwstr>https://ccc.ca.gov/collaborate/consultation/</vt:lpwstr>
      </vt:variant>
      <vt:variant>
        <vt:lpwstr/>
      </vt:variant>
      <vt:variant>
        <vt:i4>4259948</vt:i4>
      </vt:variant>
      <vt:variant>
        <vt:i4>27</vt:i4>
      </vt:variant>
      <vt:variant>
        <vt:i4>0</vt:i4>
      </vt:variant>
      <vt:variant>
        <vt:i4>5</vt:i4>
      </vt:variant>
      <vt:variant>
        <vt:lpwstr>https://leginfo.legislature.ca.gov/faces/billNavClient.xhtml?bill_id=202320240SB867</vt:lpwstr>
      </vt:variant>
      <vt:variant>
        <vt:lpwstr/>
      </vt:variant>
      <vt:variant>
        <vt:i4>4653153</vt:i4>
      </vt:variant>
      <vt:variant>
        <vt:i4>24</vt:i4>
      </vt:variant>
      <vt:variant>
        <vt:i4>0</vt:i4>
      </vt:variant>
      <vt:variant>
        <vt:i4>5</vt:i4>
      </vt:variant>
      <vt:variant>
        <vt:lpwstr>https://leginfo.legislature.ca.gov/faces/billNavClient.xhtml?bill_id=202520260SB105</vt:lpwstr>
      </vt:variant>
      <vt:variant>
        <vt:lpwstr/>
      </vt:variant>
      <vt:variant>
        <vt:i4>262172</vt:i4>
      </vt:variant>
      <vt:variant>
        <vt:i4>21</vt:i4>
      </vt:variant>
      <vt:variant>
        <vt:i4>0</vt:i4>
      </vt:variant>
      <vt:variant>
        <vt:i4>5</vt:i4>
      </vt:variant>
      <vt:variant>
        <vt:lpwstr>https://resources.ca.gov/-/media/CNRA-Website/Files/Bonds/Prop-4/Prop4BenefitsAssessment.pdf</vt:lpwstr>
      </vt:variant>
      <vt:variant>
        <vt:lpwstr/>
      </vt:variant>
      <vt:variant>
        <vt:i4>4259948</vt:i4>
      </vt:variant>
      <vt:variant>
        <vt:i4>18</vt:i4>
      </vt:variant>
      <vt:variant>
        <vt:i4>0</vt:i4>
      </vt:variant>
      <vt:variant>
        <vt:i4>5</vt:i4>
      </vt:variant>
      <vt:variant>
        <vt:lpwstr>https://leginfo.legislature.ca.gov/faces/billNavClient.xhtml?bill_id=202320240SB867</vt:lpwstr>
      </vt:variant>
      <vt:variant>
        <vt:lpwstr/>
      </vt:variant>
      <vt:variant>
        <vt:i4>851977</vt:i4>
      </vt:variant>
      <vt:variant>
        <vt:i4>15</vt:i4>
      </vt:variant>
      <vt:variant>
        <vt:i4>0</vt:i4>
      </vt:variant>
      <vt:variant>
        <vt:i4>5</vt:i4>
      </vt:variant>
      <vt:variant>
        <vt:lpwstr>https://www.caiso.com/Documents/2017BaselineAccuracyWorkGroupFinalProposalNexant.pdf</vt:lpwstr>
      </vt:variant>
      <vt:variant>
        <vt:lpwstr/>
      </vt:variant>
      <vt:variant>
        <vt:i4>7733311</vt:i4>
      </vt:variant>
      <vt:variant>
        <vt:i4>12</vt:i4>
      </vt:variant>
      <vt:variant>
        <vt:i4>0</vt:i4>
      </vt:variant>
      <vt:variant>
        <vt:i4>5</vt:i4>
      </vt:variant>
      <vt:variant>
        <vt:lpwstr>https://www.cpuc.ca.gov/-/media/cpuc-website/divisions/energy-division/documents/demand-response/demand-response-workshops/advanced-der---demand-flexibility-management/ed-white-paper---advanced-strategies-for-demand-flexibility-management.pdf</vt:lpwstr>
      </vt:variant>
      <vt:variant>
        <vt:lpwstr/>
      </vt:variant>
      <vt:variant>
        <vt:i4>7798820</vt:i4>
      </vt:variant>
      <vt:variant>
        <vt:i4>9</vt:i4>
      </vt:variant>
      <vt:variant>
        <vt:i4>0</vt:i4>
      </vt:variant>
      <vt:variant>
        <vt:i4>5</vt:i4>
      </vt:variant>
      <vt:variant>
        <vt:lpwstr>https://www.cpuc.ca.gov/Rule21/</vt:lpwstr>
      </vt:variant>
      <vt:variant>
        <vt:lpwstr/>
      </vt:variant>
      <vt:variant>
        <vt:i4>2293863</vt:i4>
      </vt:variant>
      <vt:variant>
        <vt:i4>6</vt:i4>
      </vt:variant>
      <vt:variant>
        <vt:i4>0</vt:i4>
      </vt:variant>
      <vt:variant>
        <vt:i4>5</vt:i4>
      </vt:variant>
      <vt:variant>
        <vt:lpwstr>https://law.justia.com/codes/california/code-puc/division-4-1/chapter-4-5/section-8370/</vt:lpwstr>
      </vt:variant>
      <vt:variant>
        <vt:lpwstr/>
      </vt:variant>
      <vt:variant>
        <vt:i4>8257577</vt:i4>
      </vt:variant>
      <vt:variant>
        <vt:i4>3</vt:i4>
      </vt:variant>
      <vt:variant>
        <vt:i4>0</vt:i4>
      </vt:variant>
      <vt:variant>
        <vt:i4>5</vt:i4>
      </vt:variant>
      <vt:variant>
        <vt:lpwstr>https://www.energy.ca.gov/resources/energy-glossary</vt:lpwstr>
      </vt:variant>
      <vt:variant>
        <vt:lpwstr/>
      </vt:variant>
      <vt:variant>
        <vt:i4>4259948</vt:i4>
      </vt:variant>
      <vt:variant>
        <vt:i4>0</vt:i4>
      </vt:variant>
      <vt:variant>
        <vt:i4>0</vt:i4>
      </vt:variant>
      <vt:variant>
        <vt:i4>5</vt:i4>
      </vt:variant>
      <vt:variant>
        <vt:lpwstr>https://leginfo.legislature.ca.gov/faces/billNavClient.xhtml?bill_id=202320240SB867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Douglas@Energy</dc:creator>
  <cp:keywords/>
  <dc:description/>
  <cp:lastModifiedBy>Slocombe, Michelle@Energy</cp:lastModifiedBy>
  <cp:revision>43</cp:revision>
  <dcterms:created xsi:type="dcterms:W3CDTF">2026-10-22T16:44:00Z</dcterms:created>
  <dcterms:modified xsi:type="dcterms:W3CDTF">2026-10-22T17:53:00Z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docLang">
    <vt:lpwstr>en</vt:lpwstr>
  </property>
  <property fmtid="{D5CDD505-2E9C-101B-9397-08002B2CF9AE}" pid="4" name="MediaServiceImageTags">
    <vt:lpwstr/>
  </property>
  <property fmtid="{D5CDD505-2E9C-101B-9397-08002B2CF9AE}" pid="5" name="Order">
    <vt:r8>1970600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