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4C3AD" w14:textId="399FFBD5" w:rsidR="00CE65FB" w:rsidRPr="00A04C7E" w:rsidRDefault="003C0548" w:rsidP="00E84371">
      <w:pPr>
        <w:pStyle w:val="Heading1"/>
        <w:spacing w:before="0"/>
        <w:jc w:val="center"/>
        <w:rPr>
          <w:rFonts w:ascii="Arial Bold" w:hAnsi="Arial Bold" w:cs="Arial" w:hint="eastAsia"/>
          <w:b/>
          <w:bCs/>
          <w:caps/>
          <w:color w:val="auto"/>
          <w:sz w:val="24"/>
          <w:szCs w:val="24"/>
        </w:rPr>
      </w:pPr>
      <w:r w:rsidRPr="00A04C7E">
        <w:rPr>
          <w:rFonts w:ascii="Arial Bold" w:hAnsi="Arial Bold" w:cs="Arial"/>
          <w:b/>
          <w:bCs/>
          <w:caps/>
          <w:color w:val="auto"/>
          <w:sz w:val="24"/>
          <w:szCs w:val="24"/>
        </w:rPr>
        <w:t>ATTACHMENT 20</w:t>
      </w:r>
    </w:p>
    <w:p w14:paraId="042C229F" w14:textId="4A521CA4" w:rsidR="008F6229" w:rsidRPr="00A04C7E" w:rsidRDefault="00413049" w:rsidP="00C42BB1">
      <w:pPr>
        <w:pStyle w:val="Heading2"/>
        <w:jc w:val="center"/>
        <w:rPr>
          <w:rFonts w:ascii="Arial Bold" w:hAnsi="Arial Bold" w:cs="Arial" w:hint="eastAsia"/>
          <w:b/>
          <w:bCs/>
          <w:caps/>
          <w:color w:val="auto"/>
          <w:sz w:val="24"/>
          <w:szCs w:val="24"/>
        </w:rPr>
      </w:pPr>
      <w:r w:rsidRPr="00A04C7E">
        <w:rPr>
          <w:rFonts w:ascii="Arial Bold" w:hAnsi="Arial Bold" w:cs="Arial"/>
          <w:b/>
          <w:bCs/>
          <w:caps/>
          <w:color w:val="auto"/>
          <w:sz w:val="24"/>
          <w:szCs w:val="24"/>
        </w:rPr>
        <w:t xml:space="preserve">Background information about Utility Data </w:t>
      </w:r>
      <w:r w:rsidR="000E77BD" w:rsidRPr="00A04C7E">
        <w:rPr>
          <w:rFonts w:ascii="Arial Bold" w:hAnsi="Arial Bold" w:cs="Arial"/>
          <w:b/>
          <w:bCs/>
          <w:caps/>
          <w:color w:val="auto"/>
          <w:sz w:val="24"/>
          <w:szCs w:val="24"/>
        </w:rPr>
        <w:t xml:space="preserve">available </w:t>
      </w:r>
      <w:r w:rsidRPr="00A04C7E">
        <w:rPr>
          <w:rFonts w:ascii="Arial Bold" w:hAnsi="Arial Bold" w:cs="Arial"/>
          <w:b/>
          <w:bCs/>
          <w:caps/>
          <w:color w:val="auto"/>
          <w:sz w:val="24"/>
          <w:szCs w:val="24"/>
        </w:rPr>
        <w:t xml:space="preserve">through </w:t>
      </w:r>
      <w:r w:rsidR="0026190A" w:rsidRPr="00A04C7E">
        <w:rPr>
          <w:rFonts w:ascii="Arial Bold" w:hAnsi="Arial Bold" w:cs="Arial"/>
          <w:b/>
          <w:bCs/>
          <w:caps/>
          <w:color w:val="auto"/>
          <w:sz w:val="24"/>
          <w:szCs w:val="24"/>
        </w:rPr>
        <w:t xml:space="preserve">California Code of Regulations, </w:t>
      </w:r>
      <w:r w:rsidR="26FDA209" w:rsidRPr="00A04C7E">
        <w:rPr>
          <w:rFonts w:ascii="Arial Bold" w:hAnsi="Arial Bold" w:cs="Arial"/>
          <w:b/>
          <w:bCs/>
          <w:caps/>
          <w:color w:val="auto"/>
          <w:sz w:val="24"/>
          <w:szCs w:val="24"/>
        </w:rPr>
        <w:t>Title 20, Section 1353</w:t>
      </w:r>
    </w:p>
    <w:p w14:paraId="2BFF2D72" w14:textId="6D4DF2C2" w:rsidR="008F60D1" w:rsidRPr="00E57CE9" w:rsidRDefault="3E0B150B" w:rsidP="00743756">
      <w:pPr>
        <w:spacing w:before="300" w:line="276" w:lineRule="auto"/>
        <w:rPr>
          <w:rFonts w:ascii="Arial" w:eastAsia="Tahoma" w:hAnsi="Arial" w:cs="Arial"/>
          <w:sz w:val="24"/>
          <w:szCs w:val="24"/>
        </w:rPr>
      </w:pPr>
      <w:r w:rsidRPr="00E57CE9">
        <w:rPr>
          <w:rFonts w:ascii="Arial" w:eastAsia="Tahoma" w:hAnsi="Arial" w:cs="Arial"/>
          <w:sz w:val="24"/>
          <w:szCs w:val="24"/>
        </w:rPr>
        <w:t>Under</w:t>
      </w:r>
      <w:r w:rsidR="6CFA7579" w:rsidRPr="35969011">
        <w:rPr>
          <w:rFonts w:ascii="Arial" w:eastAsia="Tahoma" w:hAnsi="Arial" w:cs="Arial"/>
          <w:sz w:val="24"/>
          <w:szCs w:val="24"/>
        </w:rPr>
        <w:t xml:space="preserve"> </w:t>
      </w:r>
      <w:r w:rsidR="6CFA7579" w:rsidRPr="009739D2">
        <w:rPr>
          <w:rFonts w:ascii="Arial" w:eastAsia="Tahoma" w:hAnsi="Arial" w:cs="Arial"/>
          <w:sz w:val="24"/>
          <w:szCs w:val="24"/>
        </w:rPr>
        <w:t>California Code of Regulations (CCR),</w:t>
      </w:r>
      <w:r w:rsidRPr="009739D2">
        <w:rPr>
          <w:rFonts w:ascii="Arial" w:eastAsia="Tahoma" w:hAnsi="Arial" w:cs="Arial"/>
          <w:sz w:val="24"/>
          <w:szCs w:val="24"/>
        </w:rPr>
        <w:t xml:space="preserve"> Title 20, Section 1353</w:t>
      </w:r>
      <w:r w:rsidR="00DC7F08">
        <w:rPr>
          <w:rFonts w:ascii="Arial" w:eastAsia="Tahoma" w:hAnsi="Arial" w:cs="Arial"/>
          <w:sz w:val="24"/>
          <w:szCs w:val="24"/>
        </w:rPr>
        <w:t>,</w:t>
      </w:r>
      <w:r w:rsidR="0095286A" w:rsidRPr="00050E1E">
        <w:rPr>
          <w:rStyle w:val="FootnoteReference"/>
          <w:rFonts w:ascii="Arial" w:eastAsia="Tahoma" w:hAnsi="Arial" w:cs="Arial"/>
          <w:sz w:val="24"/>
          <w:szCs w:val="24"/>
        </w:rPr>
        <w:footnoteReference w:id="1"/>
      </w:r>
      <w:r w:rsidRPr="00050E1E">
        <w:rPr>
          <w:rFonts w:ascii="Arial" w:eastAsia="Tahoma" w:hAnsi="Arial" w:cs="Arial"/>
          <w:sz w:val="24"/>
          <w:szCs w:val="24"/>
        </w:rPr>
        <w:t xml:space="preserve"> </w:t>
      </w:r>
      <w:r w:rsidRPr="35969011">
        <w:rPr>
          <w:rFonts w:ascii="Arial" w:eastAsia="Tahoma" w:hAnsi="Arial" w:cs="Arial"/>
          <w:sz w:val="24"/>
          <w:szCs w:val="24"/>
        </w:rPr>
        <w:t xml:space="preserve">large utilities must report disaggregated demand data to the CEC. </w:t>
      </w:r>
      <w:r w:rsidR="008F60D1" w:rsidRPr="00E57CE9">
        <w:rPr>
          <w:rFonts w:ascii="Arial" w:eastAsia="Tahoma" w:hAnsi="Arial" w:cs="Arial"/>
          <w:sz w:val="24"/>
          <w:szCs w:val="24"/>
        </w:rPr>
        <w:t xml:space="preserve">This regulation covers most California households. </w:t>
      </w:r>
      <w:r w:rsidR="00B04CEC" w:rsidRPr="00E57CE9">
        <w:rPr>
          <w:rFonts w:ascii="Arial" w:eastAsia="Tahoma" w:hAnsi="Arial" w:cs="Arial"/>
          <w:sz w:val="24"/>
          <w:szCs w:val="24"/>
        </w:rPr>
        <w:t>Section 1353 data include billing records, interval meter readings, service-account details, premise information, rate schedule references, and ID-mapping relationships.</w:t>
      </w:r>
    </w:p>
    <w:p w14:paraId="4553DEBF" w14:textId="2B81FD51" w:rsidR="32590939" w:rsidRPr="00E57CE9" w:rsidRDefault="32590939" w:rsidP="335F434A">
      <w:pPr>
        <w:spacing w:line="276" w:lineRule="auto"/>
        <w:rPr>
          <w:rFonts w:ascii="Arial" w:hAnsi="Arial" w:cs="Arial"/>
          <w:sz w:val="24"/>
          <w:szCs w:val="24"/>
        </w:rPr>
      </w:pPr>
      <w:r w:rsidRPr="00C14A8C">
        <w:rPr>
          <w:rFonts w:ascii="Arial" w:eastAsia="Tahoma" w:hAnsi="Arial" w:cs="Arial"/>
          <w:b/>
          <w:bCs/>
          <w:sz w:val="24"/>
          <w:szCs w:val="24"/>
        </w:rPr>
        <w:t xml:space="preserve">Regulatory Updates: </w:t>
      </w:r>
      <w:r w:rsidRPr="00E57CE9">
        <w:rPr>
          <w:rFonts w:ascii="Arial" w:eastAsia="Tahoma" w:hAnsi="Arial" w:cs="Arial"/>
          <w:sz w:val="24"/>
          <w:szCs w:val="24"/>
        </w:rPr>
        <w:t xml:space="preserve">The CEC adopted Energy Data Collection – Phase 3 for Natural Gas and Renewable Natural Gas Data Collection </w:t>
      </w:r>
      <w:r w:rsidR="0096232F" w:rsidRPr="00C33B06">
        <w:rPr>
          <w:rFonts w:ascii="Arial" w:eastAsia="Tahoma" w:hAnsi="Arial" w:cs="Arial"/>
          <w:sz w:val="24"/>
          <w:szCs w:val="24"/>
        </w:rPr>
        <w:t>regulations</w:t>
      </w:r>
      <w:r w:rsidR="0096232F" w:rsidRPr="00E57CE9">
        <w:rPr>
          <w:rFonts w:ascii="Arial" w:eastAsia="Tahoma" w:hAnsi="Arial" w:cs="Arial"/>
          <w:sz w:val="24"/>
          <w:szCs w:val="24"/>
        </w:rPr>
        <w:t xml:space="preserve"> </w:t>
      </w:r>
      <w:r w:rsidRPr="00E57CE9">
        <w:rPr>
          <w:rFonts w:ascii="Arial" w:eastAsia="Tahoma" w:hAnsi="Arial" w:cs="Arial"/>
          <w:sz w:val="24"/>
          <w:szCs w:val="24"/>
        </w:rPr>
        <w:t>on March 12, 2026</w:t>
      </w:r>
      <w:r w:rsidRPr="53B22577">
        <w:rPr>
          <w:rFonts w:ascii="Arial" w:eastAsia="Tahoma" w:hAnsi="Arial" w:cs="Arial"/>
          <w:sz w:val="24"/>
          <w:szCs w:val="24"/>
        </w:rPr>
        <w:t>.</w:t>
      </w:r>
      <w:r w:rsidR="00AD5163">
        <w:rPr>
          <w:rStyle w:val="FootnoteReference"/>
          <w:rFonts w:ascii="Arial" w:eastAsia="Tahoma" w:hAnsi="Arial" w:cs="Arial"/>
          <w:sz w:val="24"/>
          <w:szCs w:val="24"/>
        </w:rPr>
        <w:footnoteReference w:id="2"/>
      </w:r>
      <w:r w:rsidRPr="00E57CE9">
        <w:rPr>
          <w:rFonts w:ascii="Arial" w:eastAsia="Tahoma" w:hAnsi="Arial" w:cs="Arial"/>
          <w:sz w:val="24"/>
          <w:szCs w:val="24"/>
        </w:rPr>
        <w:t xml:space="preserve"> The adopted regulations include amendments to Title 20, Section 1353, Disaggregated Demand Data, that would change Section 1353 reporting from quarterly to monthly and reduce the reporting window from 90 days to 45 days after the end of each reporting month.</w:t>
      </w:r>
      <w:r w:rsidRPr="00E57CE9" w:rsidDel="00C10AFF">
        <w:rPr>
          <w:rFonts w:ascii="Arial" w:eastAsia="Tahoma" w:hAnsi="Arial" w:cs="Arial"/>
          <w:sz w:val="24"/>
          <w:szCs w:val="24"/>
        </w:rPr>
        <w:t xml:space="preserve"> </w:t>
      </w:r>
      <w:r w:rsidR="001A0B36" w:rsidRPr="00E57CE9">
        <w:rPr>
          <w:rFonts w:ascii="Arial" w:eastAsia="Tahoma" w:hAnsi="Arial" w:cs="Arial"/>
          <w:sz w:val="24"/>
          <w:szCs w:val="24"/>
        </w:rPr>
        <w:t xml:space="preserve"> The updated regulations </w:t>
      </w:r>
      <w:r w:rsidR="00331384" w:rsidRPr="00E57CE9">
        <w:rPr>
          <w:rFonts w:ascii="Arial" w:eastAsia="Tahoma" w:hAnsi="Arial" w:cs="Arial"/>
          <w:sz w:val="24"/>
          <w:szCs w:val="24"/>
        </w:rPr>
        <w:t>have been sent to Office of Administrative Law</w:t>
      </w:r>
      <w:r w:rsidR="00DB1F52">
        <w:rPr>
          <w:rFonts w:ascii="Arial" w:eastAsia="Tahoma" w:hAnsi="Arial" w:cs="Arial"/>
          <w:sz w:val="24"/>
          <w:szCs w:val="24"/>
        </w:rPr>
        <w:t>,</w:t>
      </w:r>
      <w:r w:rsidR="00331384" w:rsidRPr="00E57CE9">
        <w:rPr>
          <w:rFonts w:ascii="Arial" w:eastAsia="Tahoma" w:hAnsi="Arial" w:cs="Arial"/>
          <w:sz w:val="24"/>
          <w:szCs w:val="24"/>
        </w:rPr>
        <w:t xml:space="preserve"> and the </w:t>
      </w:r>
      <w:r w:rsidR="00DA3208" w:rsidRPr="00E57CE9">
        <w:rPr>
          <w:rFonts w:ascii="Arial" w:eastAsia="Tahoma" w:hAnsi="Arial" w:cs="Arial"/>
          <w:sz w:val="24"/>
          <w:szCs w:val="24"/>
        </w:rPr>
        <w:t xml:space="preserve">rulemaking </w:t>
      </w:r>
      <w:r w:rsidR="00331384" w:rsidRPr="00E57CE9">
        <w:rPr>
          <w:rFonts w:ascii="Arial" w:eastAsia="Tahoma" w:hAnsi="Arial" w:cs="Arial"/>
          <w:sz w:val="24"/>
          <w:szCs w:val="24"/>
        </w:rPr>
        <w:t xml:space="preserve">process is expected to </w:t>
      </w:r>
      <w:r w:rsidR="00DB1F52">
        <w:rPr>
          <w:rFonts w:ascii="Arial" w:eastAsia="Tahoma" w:hAnsi="Arial" w:cs="Arial"/>
          <w:sz w:val="24"/>
          <w:szCs w:val="24"/>
        </w:rPr>
        <w:t xml:space="preserve">be </w:t>
      </w:r>
      <w:r w:rsidR="00DA3208" w:rsidRPr="00E57CE9">
        <w:rPr>
          <w:rFonts w:ascii="Arial" w:eastAsia="Tahoma" w:hAnsi="Arial" w:cs="Arial"/>
          <w:sz w:val="24"/>
          <w:szCs w:val="24"/>
        </w:rPr>
        <w:t>complete</w:t>
      </w:r>
      <w:r w:rsidR="00DB1F52">
        <w:rPr>
          <w:rFonts w:ascii="Arial" w:eastAsia="Tahoma" w:hAnsi="Arial" w:cs="Arial"/>
          <w:sz w:val="24"/>
          <w:szCs w:val="24"/>
        </w:rPr>
        <w:t>d</w:t>
      </w:r>
      <w:r w:rsidR="00DA3208" w:rsidRPr="00E57CE9">
        <w:rPr>
          <w:rFonts w:ascii="Arial" w:eastAsia="Tahoma" w:hAnsi="Arial" w:cs="Arial"/>
          <w:sz w:val="24"/>
          <w:szCs w:val="24"/>
        </w:rPr>
        <w:t xml:space="preserve"> by the end of the year. </w:t>
      </w:r>
    </w:p>
    <w:p w14:paraId="2BE886B4" w14:textId="069EF620" w:rsidR="00EC61CE" w:rsidRPr="00E57CE9" w:rsidRDefault="00C44B8E" w:rsidP="00BF2DF7">
      <w:pPr>
        <w:spacing w:line="276" w:lineRule="auto"/>
        <w:rPr>
          <w:rFonts w:ascii="Arial" w:eastAsia="Tahoma" w:hAnsi="Arial" w:cs="Arial"/>
          <w:sz w:val="24"/>
          <w:szCs w:val="24"/>
        </w:rPr>
      </w:pPr>
      <w:r w:rsidRPr="00E57CE9">
        <w:rPr>
          <w:rFonts w:ascii="Arial" w:eastAsia="Tahoma" w:hAnsi="Arial" w:cs="Arial"/>
          <w:b/>
          <w:bCs/>
          <w:sz w:val="24"/>
          <w:szCs w:val="24"/>
        </w:rPr>
        <w:t>Reporting Cadence</w:t>
      </w:r>
      <w:r w:rsidR="0376358E" w:rsidRPr="00E57CE9">
        <w:rPr>
          <w:rFonts w:ascii="Arial" w:eastAsia="Tahoma" w:hAnsi="Arial" w:cs="Arial"/>
          <w:b/>
          <w:bCs/>
          <w:sz w:val="24"/>
          <w:szCs w:val="24"/>
        </w:rPr>
        <w:t>:</w:t>
      </w:r>
      <w:r w:rsidR="0920B82A" w:rsidRPr="00E57CE9">
        <w:rPr>
          <w:rFonts w:ascii="Arial" w:eastAsia="Tahoma" w:hAnsi="Arial" w:cs="Arial"/>
          <w:b/>
          <w:bCs/>
          <w:sz w:val="24"/>
          <w:szCs w:val="24"/>
        </w:rPr>
        <w:t xml:space="preserve"> </w:t>
      </w:r>
      <w:r w:rsidR="373B9049" w:rsidRPr="00E57CE9">
        <w:rPr>
          <w:rFonts w:ascii="Arial" w:eastAsia="Tahoma" w:hAnsi="Arial" w:cs="Arial"/>
          <w:sz w:val="24"/>
          <w:szCs w:val="24"/>
        </w:rPr>
        <w:t>To date</w:t>
      </w:r>
      <w:r w:rsidR="6117D266" w:rsidRPr="00E57CE9">
        <w:rPr>
          <w:rFonts w:ascii="Arial" w:eastAsia="Tahoma" w:hAnsi="Arial" w:cs="Arial"/>
          <w:sz w:val="24"/>
          <w:szCs w:val="24"/>
        </w:rPr>
        <w:t xml:space="preserve">, </w:t>
      </w:r>
      <w:r w:rsidR="0033273E" w:rsidRPr="00E57CE9">
        <w:rPr>
          <w:rFonts w:ascii="Arial" w:eastAsia="Tahoma" w:hAnsi="Arial" w:cs="Arial"/>
          <w:sz w:val="24"/>
          <w:szCs w:val="24"/>
        </w:rPr>
        <w:t xml:space="preserve">utilities </w:t>
      </w:r>
      <w:r w:rsidR="78A6ADF9" w:rsidRPr="00E57CE9">
        <w:rPr>
          <w:rFonts w:ascii="Arial" w:eastAsia="Tahoma" w:hAnsi="Arial" w:cs="Arial"/>
          <w:sz w:val="24"/>
          <w:szCs w:val="24"/>
        </w:rPr>
        <w:t>have been</w:t>
      </w:r>
      <w:r w:rsidR="00E03177" w:rsidRPr="00E57CE9">
        <w:rPr>
          <w:rFonts w:ascii="Arial" w:eastAsia="Tahoma" w:hAnsi="Arial" w:cs="Arial"/>
          <w:sz w:val="24"/>
          <w:szCs w:val="24"/>
        </w:rPr>
        <w:t xml:space="preserve"> required to </w:t>
      </w:r>
      <w:r w:rsidR="1729AFD2" w:rsidRPr="00E57CE9">
        <w:rPr>
          <w:rFonts w:ascii="Arial" w:eastAsia="Tahoma" w:hAnsi="Arial" w:cs="Arial"/>
          <w:sz w:val="24"/>
          <w:szCs w:val="24"/>
        </w:rPr>
        <w:t xml:space="preserve">report Section 1353 data on a quarterly basis and </w:t>
      </w:r>
      <w:r w:rsidR="00710A75" w:rsidRPr="00E57CE9">
        <w:rPr>
          <w:rFonts w:ascii="Arial" w:eastAsia="Tahoma" w:hAnsi="Arial" w:cs="Arial"/>
          <w:sz w:val="24"/>
          <w:szCs w:val="24"/>
        </w:rPr>
        <w:t xml:space="preserve">submit reports </w:t>
      </w:r>
      <w:r w:rsidR="1729AFD2" w:rsidRPr="00E57CE9">
        <w:rPr>
          <w:rFonts w:ascii="Arial" w:eastAsia="Tahoma" w:hAnsi="Arial" w:cs="Arial"/>
          <w:sz w:val="24"/>
          <w:szCs w:val="24"/>
        </w:rPr>
        <w:t xml:space="preserve">within 90 days after the end of </w:t>
      </w:r>
      <w:r w:rsidR="00710A75" w:rsidRPr="00E57CE9">
        <w:rPr>
          <w:rFonts w:ascii="Arial" w:eastAsia="Tahoma" w:hAnsi="Arial" w:cs="Arial"/>
          <w:sz w:val="24"/>
          <w:szCs w:val="24"/>
        </w:rPr>
        <w:t xml:space="preserve">each </w:t>
      </w:r>
      <w:r w:rsidR="1729AFD2" w:rsidRPr="00E57CE9">
        <w:rPr>
          <w:rFonts w:ascii="Arial" w:eastAsia="Tahoma" w:hAnsi="Arial" w:cs="Arial"/>
          <w:sz w:val="24"/>
          <w:szCs w:val="24"/>
        </w:rPr>
        <w:t>quarter</w:t>
      </w:r>
      <w:r w:rsidR="00710A75" w:rsidRPr="00E57CE9">
        <w:rPr>
          <w:rFonts w:ascii="Arial" w:eastAsia="Tahoma" w:hAnsi="Arial" w:cs="Arial"/>
          <w:sz w:val="24"/>
          <w:szCs w:val="24"/>
        </w:rPr>
        <w:t xml:space="preserve">. This </w:t>
      </w:r>
      <w:r w:rsidR="1729AFD2" w:rsidRPr="00E57CE9">
        <w:rPr>
          <w:rFonts w:ascii="Arial" w:eastAsia="Tahoma" w:hAnsi="Arial" w:cs="Arial"/>
          <w:sz w:val="24"/>
          <w:szCs w:val="24"/>
        </w:rPr>
        <w:t xml:space="preserve">meant that data </w:t>
      </w:r>
      <w:r w:rsidR="00E03177" w:rsidRPr="00E57CE9">
        <w:rPr>
          <w:rFonts w:ascii="Arial" w:eastAsia="Tahoma" w:hAnsi="Arial" w:cs="Arial"/>
          <w:sz w:val="24"/>
          <w:szCs w:val="24"/>
        </w:rPr>
        <w:t xml:space="preserve">was often </w:t>
      </w:r>
      <w:r w:rsidR="1729AFD2" w:rsidRPr="00E57CE9">
        <w:rPr>
          <w:rFonts w:ascii="Arial" w:eastAsia="Tahoma" w:hAnsi="Arial" w:cs="Arial"/>
          <w:sz w:val="24"/>
          <w:szCs w:val="24"/>
        </w:rPr>
        <w:t xml:space="preserve">several months old when submitted. The Phase 3 </w:t>
      </w:r>
      <w:r w:rsidR="00E03177" w:rsidRPr="00E57CE9">
        <w:rPr>
          <w:rFonts w:ascii="Arial" w:eastAsia="Tahoma" w:hAnsi="Arial" w:cs="Arial"/>
          <w:sz w:val="24"/>
          <w:szCs w:val="24"/>
        </w:rPr>
        <w:t xml:space="preserve">regulatory updates </w:t>
      </w:r>
      <w:r w:rsidR="1729AFD2" w:rsidRPr="00E57CE9">
        <w:rPr>
          <w:rFonts w:ascii="Arial" w:eastAsia="Tahoma" w:hAnsi="Arial" w:cs="Arial"/>
          <w:sz w:val="24"/>
          <w:szCs w:val="24"/>
        </w:rPr>
        <w:t xml:space="preserve">change the reporting tempo from quarterly to monthly and </w:t>
      </w:r>
      <w:r w:rsidR="00710A75" w:rsidRPr="00E57CE9">
        <w:rPr>
          <w:rFonts w:ascii="Arial" w:eastAsia="Tahoma" w:hAnsi="Arial" w:cs="Arial"/>
          <w:sz w:val="24"/>
          <w:szCs w:val="24"/>
        </w:rPr>
        <w:t xml:space="preserve">shorten </w:t>
      </w:r>
      <w:r w:rsidR="1729AFD2" w:rsidRPr="00E57CE9">
        <w:rPr>
          <w:rFonts w:ascii="Arial" w:eastAsia="Tahoma" w:hAnsi="Arial" w:cs="Arial"/>
          <w:sz w:val="24"/>
          <w:szCs w:val="24"/>
        </w:rPr>
        <w:t>the reporting window from 90 days to 45 days after the end of each month. Functionally, the CEC expects to receive one month of reported data in the middle of the second following month</w:t>
      </w:r>
      <w:r w:rsidR="0088133D" w:rsidRPr="00E57CE9">
        <w:rPr>
          <w:rFonts w:ascii="Arial" w:eastAsia="Tahoma" w:hAnsi="Arial" w:cs="Arial"/>
          <w:sz w:val="24"/>
          <w:szCs w:val="24"/>
        </w:rPr>
        <w:t>. F</w:t>
      </w:r>
      <w:r w:rsidR="1729AFD2" w:rsidRPr="00E57CE9">
        <w:rPr>
          <w:rFonts w:ascii="Arial" w:eastAsia="Tahoma" w:hAnsi="Arial" w:cs="Arial"/>
          <w:sz w:val="24"/>
          <w:szCs w:val="24"/>
        </w:rPr>
        <w:t xml:space="preserve">or example, January data would be reported in mid-March, February data in mid-April, and so on. Bidders should </w:t>
      </w:r>
      <w:r w:rsidR="00057312" w:rsidRPr="00E57CE9">
        <w:rPr>
          <w:rFonts w:ascii="Arial" w:eastAsia="Tahoma" w:hAnsi="Arial" w:cs="Arial"/>
          <w:sz w:val="24"/>
          <w:szCs w:val="24"/>
        </w:rPr>
        <w:t xml:space="preserve">be aware that while the Phase 3 changes </w:t>
      </w:r>
      <w:r w:rsidR="00D742BD" w:rsidRPr="00E57CE9">
        <w:rPr>
          <w:rFonts w:ascii="Arial" w:eastAsia="Tahoma" w:hAnsi="Arial" w:cs="Arial"/>
          <w:sz w:val="24"/>
          <w:szCs w:val="24"/>
        </w:rPr>
        <w:t xml:space="preserve">reduce the lag time for </w:t>
      </w:r>
      <w:r w:rsidR="0096384A" w:rsidRPr="00E57CE9">
        <w:rPr>
          <w:rFonts w:ascii="Arial" w:eastAsia="Tahoma" w:hAnsi="Arial" w:cs="Arial"/>
          <w:sz w:val="24"/>
          <w:szCs w:val="24"/>
        </w:rPr>
        <w:t xml:space="preserve">available </w:t>
      </w:r>
      <w:r w:rsidR="00D742BD" w:rsidRPr="00E57CE9">
        <w:rPr>
          <w:rFonts w:ascii="Arial" w:eastAsia="Tahoma" w:hAnsi="Arial" w:cs="Arial"/>
          <w:sz w:val="24"/>
          <w:szCs w:val="24"/>
        </w:rPr>
        <w:t xml:space="preserve">data, </w:t>
      </w:r>
      <w:r w:rsidR="1729AFD2" w:rsidRPr="00E57CE9">
        <w:rPr>
          <w:rFonts w:ascii="Arial" w:eastAsia="Tahoma" w:hAnsi="Arial" w:cs="Arial"/>
          <w:sz w:val="24"/>
          <w:szCs w:val="24"/>
        </w:rPr>
        <w:t xml:space="preserve">some utilities may seek approval for delayed implementation while updating </w:t>
      </w:r>
      <w:r w:rsidR="00285E3D" w:rsidRPr="00E57CE9">
        <w:rPr>
          <w:rFonts w:ascii="Arial" w:eastAsia="Tahoma" w:hAnsi="Arial" w:cs="Arial"/>
          <w:sz w:val="24"/>
          <w:szCs w:val="24"/>
        </w:rPr>
        <w:t xml:space="preserve">their </w:t>
      </w:r>
      <w:r w:rsidR="1729AFD2" w:rsidRPr="00E57CE9">
        <w:rPr>
          <w:rFonts w:ascii="Arial" w:eastAsia="Tahoma" w:hAnsi="Arial" w:cs="Arial"/>
          <w:sz w:val="24"/>
          <w:szCs w:val="24"/>
        </w:rPr>
        <w:t>reporting systems</w:t>
      </w:r>
      <w:r w:rsidR="3228C3A4" w:rsidRPr="00E57CE9">
        <w:rPr>
          <w:rFonts w:ascii="Arial" w:eastAsia="Tahoma" w:hAnsi="Arial" w:cs="Arial"/>
          <w:color w:val="881798"/>
          <w:sz w:val="24"/>
          <w:szCs w:val="24"/>
          <w:u w:val="single"/>
        </w:rPr>
        <w:t>.</w:t>
      </w:r>
    </w:p>
    <w:p w14:paraId="0E1AA71D" w14:textId="781E8505" w:rsidR="00407BFB" w:rsidRPr="00E57CE9" w:rsidRDefault="45E124C5" w:rsidP="00BF2DF7">
      <w:pPr>
        <w:spacing w:line="276" w:lineRule="auto"/>
        <w:rPr>
          <w:rFonts w:ascii="Arial" w:eastAsia="Tahoma" w:hAnsi="Arial" w:cs="Arial"/>
          <w:sz w:val="24"/>
          <w:szCs w:val="24"/>
        </w:rPr>
      </w:pPr>
      <w:r w:rsidRPr="00E57CE9">
        <w:rPr>
          <w:rFonts w:ascii="Arial" w:eastAsia="Tahoma" w:hAnsi="Arial" w:cs="Arial"/>
          <w:b/>
          <w:bCs/>
          <w:sz w:val="24"/>
          <w:szCs w:val="24"/>
        </w:rPr>
        <w:t>Updated Data Scope:</w:t>
      </w:r>
      <w:r w:rsidR="300FDB0B" w:rsidRPr="00E57CE9">
        <w:rPr>
          <w:rFonts w:ascii="Arial" w:eastAsia="Tahoma" w:hAnsi="Arial" w:cs="Arial"/>
          <w:b/>
          <w:bCs/>
          <w:sz w:val="24"/>
          <w:szCs w:val="24"/>
        </w:rPr>
        <w:t xml:space="preserve"> </w:t>
      </w:r>
      <w:r w:rsidR="300FDB0B" w:rsidRPr="00E57CE9">
        <w:rPr>
          <w:rFonts w:ascii="Arial" w:eastAsia="Tahoma" w:hAnsi="Arial" w:cs="Arial"/>
          <w:sz w:val="24"/>
          <w:szCs w:val="24"/>
        </w:rPr>
        <w:t xml:space="preserve">The Phase 3 </w:t>
      </w:r>
      <w:r w:rsidR="00922113" w:rsidRPr="00E57CE9">
        <w:rPr>
          <w:rFonts w:ascii="Arial" w:eastAsia="Tahoma" w:hAnsi="Arial" w:cs="Arial"/>
          <w:sz w:val="24"/>
          <w:szCs w:val="24"/>
        </w:rPr>
        <w:t xml:space="preserve">regulatory updates </w:t>
      </w:r>
      <w:r w:rsidR="300FDB0B" w:rsidRPr="00E57CE9">
        <w:rPr>
          <w:rFonts w:ascii="Arial" w:eastAsia="Tahoma" w:hAnsi="Arial" w:cs="Arial"/>
          <w:sz w:val="24"/>
          <w:szCs w:val="24"/>
        </w:rPr>
        <w:t xml:space="preserve">expand the </w:t>
      </w:r>
      <w:r w:rsidR="00922113" w:rsidRPr="00E57CE9">
        <w:rPr>
          <w:rFonts w:ascii="Arial" w:eastAsia="Tahoma" w:hAnsi="Arial" w:cs="Arial"/>
          <w:sz w:val="24"/>
          <w:szCs w:val="24"/>
        </w:rPr>
        <w:t xml:space="preserve">scope of reported </w:t>
      </w:r>
      <w:r w:rsidR="300FDB0B" w:rsidRPr="00E57CE9">
        <w:rPr>
          <w:rFonts w:ascii="Arial" w:eastAsia="Tahoma" w:hAnsi="Arial" w:cs="Arial"/>
          <w:sz w:val="24"/>
          <w:szCs w:val="24"/>
        </w:rPr>
        <w:t xml:space="preserve">data by adding </w:t>
      </w:r>
      <w:r w:rsidR="00922113" w:rsidRPr="00E57CE9">
        <w:rPr>
          <w:rFonts w:ascii="Arial" w:eastAsia="Tahoma" w:hAnsi="Arial" w:cs="Arial"/>
          <w:sz w:val="24"/>
          <w:szCs w:val="24"/>
        </w:rPr>
        <w:t>requirement</w:t>
      </w:r>
      <w:r w:rsidR="00C65662" w:rsidRPr="00E57CE9">
        <w:rPr>
          <w:rFonts w:ascii="Arial" w:eastAsia="Tahoma" w:hAnsi="Arial" w:cs="Arial"/>
          <w:sz w:val="24"/>
          <w:szCs w:val="24"/>
        </w:rPr>
        <w:t>s</w:t>
      </w:r>
      <w:r w:rsidR="00922113" w:rsidRPr="00E57CE9">
        <w:rPr>
          <w:rFonts w:ascii="Arial" w:eastAsia="Tahoma" w:hAnsi="Arial" w:cs="Arial"/>
          <w:sz w:val="24"/>
          <w:szCs w:val="24"/>
        </w:rPr>
        <w:t xml:space="preserve"> for utilities to report </w:t>
      </w:r>
      <w:r w:rsidR="300FDB0B" w:rsidRPr="00E57CE9">
        <w:rPr>
          <w:rFonts w:ascii="Arial" w:eastAsia="Tahoma" w:hAnsi="Arial" w:cs="Arial"/>
          <w:sz w:val="24"/>
          <w:szCs w:val="24"/>
        </w:rPr>
        <w:t>smart-gas interval data</w:t>
      </w:r>
      <w:r w:rsidR="00C65662" w:rsidRPr="00E57CE9">
        <w:rPr>
          <w:rFonts w:ascii="Arial" w:eastAsia="Tahoma" w:hAnsi="Arial" w:cs="Arial"/>
          <w:sz w:val="24"/>
          <w:szCs w:val="24"/>
        </w:rPr>
        <w:t>;</w:t>
      </w:r>
      <w:r w:rsidR="300FDB0B" w:rsidRPr="00E57CE9">
        <w:rPr>
          <w:rFonts w:ascii="Arial" w:eastAsia="Tahoma" w:hAnsi="Arial" w:cs="Arial"/>
          <w:sz w:val="24"/>
          <w:szCs w:val="24"/>
        </w:rPr>
        <w:t xml:space="preserve"> a </w:t>
      </w:r>
      <w:proofErr w:type="spellStart"/>
      <w:r w:rsidR="300FDB0B" w:rsidRPr="00E57CE9">
        <w:rPr>
          <w:rFonts w:ascii="Arial" w:eastAsia="Tahoma" w:hAnsi="Arial" w:cs="Arial"/>
          <w:sz w:val="24"/>
          <w:szCs w:val="24"/>
        </w:rPr>
        <w:t>CustomerID</w:t>
      </w:r>
      <w:proofErr w:type="spellEnd"/>
      <w:r w:rsidR="300FDB0B" w:rsidRPr="00E57CE9">
        <w:rPr>
          <w:rFonts w:ascii="Arial" w:eastAsia="Tahoma" w:hAnsi="Arial" w:cs="Arial"/>
          <w:sz w:val="24"/>
          <w:szCs w:val="24"/>
        </w:rPr>
        <w:t xml:space="preserve"> field to support customer-level linkage across service accounts</w:t>
      </w:r>
      <w:r w:rsidR="00C65662" w:rsidRPr="00E57CE9">
        <w:rPr>
          <w:rFonts w:ascii="Arial" w:eastAsia="Tahoma" w:hAnsi="Arial" w:cs="Arial"/>
          <w:sz w:val="24"/>
          <w:szCs w:val="24"/>
        </w:rPr>
        <w:t>;</w:t>
      </w:r>
      <w:r w:rsidR="300FDB0B" w:rsidRPr="00E57CE9">
        <w:rPr>
          <w:rFonts w:ascii="Arial" w:eastAsia="Tahoma" w:hAnsi="Arial" w:cs="Arial"/>
          <w:sz w:val="24"/>
          <w:szCs w:val="24"/>
        </w:rPr>
        <w:t xml:space="preserve"> meter latitude and longitude</w:t>
      </w:r>
      <w:r w:rsidR="00F53B13" w:rsidRPr="00E57CE9">
        <w:rPr>
          <w:rFonts w:ascii="Arial" w:eastAsia="Tahoma" w:hAnsi="Arial" w:cs="Arial"/>
          <w:sz w:val="24"/>
          <w:szCs w:val="24"/>
        </w:rPr>
        <w:t>;</w:t>
      </w:r>
      <w:r w:rsidR="300FDB0B" w:rsidRPr="00E57CE9">
        <w:rPr>
          <w:rFonts w:ascii="Arial" w:eastAsia="Tahoma" w:hAnsi="Arial" w:cs="Arial"/>
          <w:sz w:val="24"/>
          <w:szCs w:val="24"/>
        </w:rPr>
        <w:t xml:space="preserve"> discrete address fields</w:t>
      </w:r>
      <w:r w:rsidR="00F53B13" w:rsidRPr="00E57CE9">
        <w:rPr>
          <w:rFonts w:ascii="Arial" w:eastAsia="Tahoma" w:hAnsi="Arial" w:cs="Arial"/>
          <w:sz w:val="24"/>
          <w:szCs w:val="24"/>
        </w:rPr>
        <w:t>;</w:t>
      </w:r>
      <w:r w:rsidR="003A746B" w:rsidRPr="00E57CE9">
        <w:rPr>
          <w:rFonts w:ascii="Arial" w:eastAsia="Tahoma" w:hAnsi="Arial" w:cs="Arial"/>
          <w:sz w:val="24"/>
          <w:szCs w:val="24"/>
        </w:rPr>
        <w:t xml:space="preserve"> </w:t>
      </w:r>
      <w:proofErr w:type="spellStart"/>
      <w:r w:rsidR="0FD746BF" w:rsidRPr="00E57CE9">
        <w:rPr>
          <w:rFonts w:ascii="Arial" w:eastAsia="Tahoma" w:hAnsi="Arial" w:cs="Arial"/>
          <w:sz w:val="24"/>
          <w:szCs w:val="24"/>
        </w:rPr>
        <w:t>CustomerGroup</w:t>
      </w:r>
      <w:proofErr w:type="spellEnd"/>
      <w:r w:rsidR="0FD746BF" w:rsidRPr="00E57CE9">
        <w:rPr>
          <w:rFonts w:ascii="Arial" w:eastAsia="Tahoma" w:hAnsi="Arial" w:cs="Arial"/>
          <w:sz w:val="24"/>
          <w:szCs w:val="24"/>
        </w:rPr>
        <w:t xml:space="preserve"> to identify the customer category, such as residential, commercial, industrial, or agriculture; </w:t>
      </w:r>
      <w:proofErr w:type="spellStart"/>
      <w:r w:rsidR="0FD746BF" w:rsidRPr="00E57CE9">
        <w:rPr>
          <w:rFonts w:ascii="Arial" w:eastAsia="Tahoma" w:hAnsi="Arial" w:cs="Arial"/>
          <w:sz w:val="24"/>
          <w:szCs w:val="24"/>
        </w:rPr>
        <w:t>BaselineTerritory</w:t>
      </w:r>
      <w:proofErr w:type="spellEnd"/>
      <w:r w:rsidR="0FD746BF" w:rsidRPr="00E57CE9">
        <w:rPr>
          <w:rFonts w:ascii="Arial" w:eastAsia="Tahoma" w:hAnsi="Arial" w:cs="Arial"/>
          <w:sz w:val="24"/>
          <w:szCs w:val="24"/>
        </w:rPr>
        <w:t xml:space="preserve"> to identify the applicable utility-defined baseline region used for billing and rate treatment; and </w:t>
      </w:r>
      <w:r w:rsidR="0FD746BF" w:rsidRPr="00E57CE9">
        <w:rPr>
          <w:rFonts w:ascii="Arial" w:eastAsia="Tahoma" w:hAnsi="Arial" w:cs="Arial"/>
          <w:sz w:val="24"/>
          <w:szCs w:val="24"/>
        </w:rPr>
        <w:lastRenderedPageBreak/>
        <w:t xml:space="preserve">Rate Identification Numbers to support linkage between </w:t>
      </w:r>
      <w:r w:rsidR="67F96F71" w:rsidRPr="00E57CE9">
        <w:rPr>
          <w:rFonts w:ascii="Arial" w:eastAsia="Tahoma" w:hAnsi="Arial" w:cs="Arial"/>
          <w:sz w:val="24"/>
          <w:szCs w:val="24"/>
        </w:rPr>
        <w:t>datasets</w:t>
      </w:r>
      <w:r w:rsidR="300FDB0B" w:rsidRPr="00E57CE9">
        <w:rPr>
          <w:rFonts w:ascii="Arial" w:eastAsia="Tahoma" w:hAnsi="Arial" w:cs="Arial"/>
          <w:sz w:val="24"/>
          <w:szCs w:val="24"/>
        </w:rPr>
        <w:t xml:space="preserve">. These changes </w:t>
      </w:r>
      <w:r w:rsidR="00406316" w:rsidRPr="00E57CE9">
        <w:rPr>
          <w:rFonts w:ascii="Arial" w:eastAsia="Tahoma" w:hAnsi="Arial" w:cs="Arial"/>
          <w:sz w:val="24"/>
          <w:szCs w:val="24"/>
        </w:rPr>
        <w:t>may</w:t>
      </w:r>
      <w:r w:rsidR="2C574003" w:rsidRPr="00E57CE9">
        <w:rPr>
          <w:rFonts w:ascii="Arial" w:eastAsia="Tahoma" w:hAnsi="Arial" w:cs="Arial"/>
          <w:sz w:val="24"/>
          <w:szCs w:val="24"/>
        </w:rPr>
        <w:t xml:space="preserve"> </w:t>
      </w:r>
      <w:r w:rsidR="09C511BF" w:rsidRPr="00E57CE9">
        <w:rPr>
          <w:rFonts w:ascii="Arial" w:eastAsia="Tahoma" w:hAnsi="Arial" w:cs="Arial"/>
          <w:sz w:val="24"/>
          <w:szCs w:val="24"/>
        </w:rPr>
        <w:t>be</w:t>
      </w:r>
      <w:r w:rsidR="300FDB0B" w:rsidRPr="00E57CE9">
        <w:rPr>
          <w:rFonts w:ascii="Arial" w:eastAsia="Tahoma" w:hAnsi="Arial" w:cs="Arial"/>
          <w:sz w:val="24"/>
          <w:szCs w:val="24"/>
        </w:rPr>
        <w:t xml:space="preserve"> relevant for HOMES </w:t>
      </w:r>
      <w:r w:rsidR="00106627" w:rsidRPr="00E57CE9">
        <w:rPr>
          <w:rFonts w:ascii="Arial" w:eastAsia="Tahoma" w:hAnsi="Arial" w:cs="Arial"/>
          <w:sz w:val="24"/>
          <w:szCs w:val="24"/>
        </w:rPr>
        <w:t>Pay for Performance (P4P)</w:t>
      </w:r>
      <w:r w:rsidR="300FDB0B" w:rsidRPr="00E57CE9">
        <w:rPr>
          <w:rFonts w:ascii="Arial" w:eastAsia="Tahoma" w:hAnsi="Arial" w:cs="Arial"/>
          <w:sz w:val="24"/>
          <w:szCs w:val="24"/>
        </w:rPr>
        <w:t xml:space="preserve"> screening, measurement and verification (M&amp;V), customer segmentation, and reconciliation of electric and gas consumption records</w:t>
      </w:r>
      <w:r w:rsidR="568D573A" w:rsidRPr="00E57CE9">
        <w:rPr>
          <w:rFonts w:ascii="Arial" w:eastAsia="Tahoma" w:hAnsi="Arial" w:cs="Arial"/>
          <w:sz w:val="24"/>
          <w:szCs w:val="24"/>
        </w:rPr>
        <w:t>.</w:t>
      </w:r>
      <w:r w:rsidR="2F2C5080" w:rsidRPr="00E57CE9">
        <w:rPr>
          <w:rFonts w:ascii="Arial" w:eastAsia="Tahoma" w:hAnsi="Arial" w:cs="Arial"/>
          <w:sz w:val="24"/>
          <w:szCs w:val="24"/>
        </w:rPr>
        <w:t xml:space="preserve"> </w:t>
      </w:r>
    </w:p>
    <w:p w14:paraId="72D2DE08" w14:textId="2C4E4D41" w:rsidR="40A7367C" w:rsidRPr="00E57CE9" w:rsidRDefault="00975506" w:rsidP="00BF2DF7">
      <w:pPr>
        <w:spacing w:line="276" w:lineRule="auto"/>
        <w:rPr>
          <w:rFonts w:ascii="Arial" w:eastAsia="Tahoma" w:hAnsi="Arial" w:cs="Arial"/>
          <w:sz w:val="24"/>
          <w:szCs w:val="24"/>
        </w:rPr>
      </w:pPr>
      <w:r w:rsidRPr="00E57CE9">
        <w:rPr>
          <w:rFonts w:ascii="Arial" w:eastAsia="Tahoma" w:hAnsi="Arial" w:cs="Arial"/>
          <w:b/>
          <w:bCs/>
          <w:sz w:val="24"/>
          <w:szCs w:val="24"/>
        </w:rPr>
        <w:t>CEC’s Data Warehouse</w:t>
      </w:r>
      <w:r w:rsidR="2F8082C0" w:rsidRPr="00E57CE9">
        <w:rPr>
          <w:rFonts w:ascii="Arial" w:eastAsia="Tahoma" w:hAnsi="Arial" w:cs="Arial"/>
          <w:b/>
          <w:bCs/>
          <w:sz w:val="24"/>
          <w:szCs w:val="24"/>
        </w:rPr>
        <w:t xml:space="preserve">: </w:t>
      </w:r>
      <w:r w:rsidR="3A1C69F9" w:rsidRPr="00E57CE9">
        <w:rPr>
          <w:rFonts w:ascii="Arial" w:eastAsia="Tahoma" w:hAnsi="Arial" w:cs="Arial"/>
          <w:sz w:val="24"/>
          <w:szCs w:val="24"/>
        </w:rPr>
        <w:t xml:space="preserve">CEC’s Snowflake data warehouse provides a platform the </w:t>
      </w:r>
      <w:r w:rsidR="00DE7D45" w:rsidRPr="00E57CE9">
        <w:rPr>
          <w:rFonts w:ascii="Arial" w:eastAsia="Tahoma" w:hAnsi="Arial" w:cs="Arial"/>
          <w:sz w:val="24"/>
          <w:szCs w:val="24"/>
        </w:rPr>
        <w:t xml:space="preserve">HOMES </w:t>
      </w:r>
      <w:r w:rsidR="008932FA" w:rsidRPr="00E57CE9">
        <w:rPr>
          <w:rFonts w:ascii="Arial" w:eastAsia="Tahoma" w:hAnsi="Arial" w:cs="Arial"/>
          <w:sz w:val="24"/>
          <w:szCs w:val="24"/>
        </w:rPr>
        <w:t>P4P</w:t>
      </w:r>
      <w:r w:rsidR="00DE7D45" w:rsidRPr="00E57CE9">
        <w:rPr>
          <w:rFonts w:ascii="Arial" w:eastAsia="Tahoma" w:hAnsi="Arial" w:cs="Arial"/>
          <w:sz w:val="24"/>
          <w:szCs w:val="24"/>
        </w:rPr>
        <w:t xml:space="preserve"> </w:t>
      </w:r>
      <w:r w:rsidR="00C73674" w:rsidRPr="00E57CE9">
        <w:rPr>
          <w:rFonts w:ascii="Arial" w:eastAsia="Tahoma" w:hAnsi="Arial" w:cs="Arial"/>
          <w:sz w:val="24"/>
          <w:szCs w:val="24"/>
        </w:rPr>
        <w:t xml:space="preserve">Statewide </w:t>
      </w:r>
      <w:r w:rsidR="00DE7D45" w:rsidRPr="00E57CE9">
        <w:rPr>
          <w:rFonts w:ascii="Arial" w:eastAsia="Tahoma" w:hAnsi="Arial" w:cs="Arial"/>
          <w:sz w:val="24"/>
          <w:szCs w:val="24"/>
        </w:rPr>
        <w:t>Implementer</w:t>
      </w:r>
      <w:r w:rsidR="00C73674" w:rsidRPr="00E57CE9">
        <w:rPr>
          <w:rFonts w:ascii="Arial" w:eastAsia="Tahoma" w:hAnsi="Arial" w:cs="Arial"/>
          <w:sz w:val="24"/>
          <w:szCs w:val="24"/>
        </w:rPr>
        <w:t xml:space="preserve"> (</w:t>
      </w:r>
      <w:r w:rsidR="3A1C69F9" w:rsidRPr="00E57CE9">
        <w:rPr>
          <w:rFonts w:ascii="Arial" w:eastAsia="Tahoma" w:hAnsi="Arial" w:cs="Arial"/>
          <w:sz w:val="24"/>
          <w:szCs w:val="24"/>
        </w:rPr>
        <w:t>SWI</w:t>
      </w:r>
      <w:r w:rsidR="00C73674" w:rsidRPr="00E57CE9">
        <w:rPr>
          <w:rFonts w:ascii="Arial" w:eastAsia="Tahoma" w:hAnsi="Arial" w:cs="Arial"/>
          <w:sz w:val="24"/>
          <w:szCs w:val="24"/>
        </w:rPr>
        <w:t>)</w:t>
      </w:r>
      <w:r w:rsidR="3A1C69F9" w:rsidRPr="00E57CE9">
        <w:rPr>
          <w:rFonts w:ascii="Arial" w:eastAsia="Tahoma" w:hAnsi="Arial" w:cs="Arial"/>
          <w:sz w:val="24"/>
          <w:szCs w:val="24"/>
        </w:rPr>
        <w:t xml:space="preserve"> can query to access statewide energy consumption data</w:t>
      </w:r>
      <w:r w:rsidR="007F5FC6" w:rsidRPr="00E57CE9">
        <w:rPr>
          <w:rFonts w:ascii="Arial" w:eastAsia="Tahoma" w:hAnsi="Arial" w:cs="Arial"/>
          <w:sz w:val="24"/>
          <w:szCs w:val="24"/>
        </w:rPr>
        <w:t>,</w:t>
      </w:r>
      <w:r w:rsidR="3A1C69F9" w:rsidRPr="00E57CE9">
        <w:rPr>
          <w:rFonts w:ascii="Arial" w:eastAsia="Tahoma" w:hAnsi="Arial" w:cs="Arial"/>
          <w:sz w:val="24"/>
          <w:szCs w:val="24"/>
        </w:rPr>
        <w:t xml:space="preserve"> subject to CEC’s data privacy protocols and guidelines. Through this platform, </w:t>
      </w:r>
      <w:proofErr w:type="gramStart"/>
      <w:r w:rsidR="3A1C69F9" w:rsidRPr="00E57CE9">
        <w:rPr>
          <w:rFonts w:ascii="Arial" w:eastAsia="Tahoma" w:hAnsi="Arial" w:cs="Arial"/>
          <w:sz w:val="24"/>
          <w:szCs w:val="24"/>
        </w:rPr>
        <w:t>the SWI</w:t>
      </w:r>
      <w:proofErr w:type="gramEnd"/>
      <w:r w:rsidR="3A1C69F9" w:rsidRPr="00E57CE9">
        <w:rPr>
          <w:rFonts w:ascii="Arial" w:eastAsia="Tahoma" w:hAnsi="Arial" w:cs="Arial"/>
          <w:sz w:val="24"/>
          <w:szCs w:val="24"/>
        </w:rPr>
        <w:t xml:space="preserve"> may access data for:</w:t>
      </w:r>
    </w:p>
    <w:p w14:paraId="48383F17" w14:textId="112F7BBC" w:rsidR="40A7367C" w:rsidRPr="00E57CE9" w:rsidRDefault="7B078B45" w:rsidP="00BF2DF7">
      <w:pPr>
        <w:pStyle w:val="ListParagraph"/>
        <w:numPr>
          <w:ilvl w:val="0"/>
          <w:numId w:val="1"/>
        </w:numPr>
        <w:spacing w:after="0" w:line="276" w:lineRule="auto"/>
        <w:rPr>
          <w:rFonts w:ascii="Arial" w:eastAsia="Tahoma" w:hAnsi="Arial" w:cs="Arial"/>
          <w:sz w:val="24"/>
          <w:szCs w:val="24"/>
        </w:rPr>
      </w:pPr>
      <w:r w:rsidRPr="0F263D0F">
        <w:rPr>
          <w:rFonts w:ascii="Arial" w:eastAsia="Tahoma" w:hAnsi="Arial" w:cs="Arial"/>
          <w:sz w:val="24"/>
          <w:szCs w:val="24"/>
        </w:rPr>
        <w:t xml:space="preserve">Screening and identifying high-impact projects. </w:t>
      </w:r>
      <w:r w:rsidR="027305A1" w:rsidRPr="0F263D0F">
        <w:rPr>
          <w:rFonts w:ascii="Arial" w:eastAsia="Tahoma" w:hAnsi="Arial" w:cs="Arial"/>
          <w:sz w:val="24"/>
          <w:szCs w:val="24"/>
        </w:rPr>
        <w:t>T</w:t>
      </w:r>
      <w:r w:rsidR="2CA69BF3" w:rsidRPr="0F263D0F">
        <w:rPr>
          <w:rFonts w:ascii="Arial" w:eastAsia="Tahoma" w:hAnsi="Arial" w:cs="Arial"/>
          <w:sz w:val="24"/>
          <w:szCs w:val="24"/>
        </w:rPr>
        <w:t xml:space="preserve">he </w:t>
      </w:r>
      <w:r w:rsidRPr="0F263D0F">
        <w:rPr>
          <w:rFonts w:ascii="Arial" w:eastAsia="Tahoma" w:hAnsi="Arial" w:cs="Arial"/>
          <w:sz w:val="24"/>
          <w:szCs w:val="24"/>
        </w:rPr>
        <w:t xml:space="preserve">SWI may </w:t>
      </w:r>
      <w:r w:rsidR="0BC7D61A" w:rsidRPr="0F263D0F">
        <w:rPr>
          <w:rFonts w:ascii="Arial" w:eastAsia="Tahoma" w:hAnsi="Arial" w:cs="Arial"/>
          <w:sz w:val="24"/>
          <w:szCs w:val="24"/>
        </w:rPr>
        <w:t xml:space="preserve">be able to </w:t>
      </w:r>
      <w:r w:rsidRPr="0F263D0F">
        <w:rPr>
          <w:rFonts w:ascii="Arial" w:eastAsia="Tahoma" w:hAnsi="Arial" w:cs="Arial"/>
          <w:sz w:val="24"/>
          <w:szCs w:val="24"/>
        </w:rPr>
        <w:t>share project addresses with aggregators or contractors to support targeted outreach and implementation</w:t>
      </w:r>
      <w:r w:rsidR="6D13F199" w:rsidRPr="0F263D0F">
        <w:rPr>
          <w:rFonts w:ascii="Arial" w:eastAsia="Tahoma" w:hAnsi="Arial" w:cs="Arial"/>
          <w:sz w:val="24"/>
          <w:szCs w:val="24"/>
        </w:rPr>
        <w:t>, p</w:t>
      </w:r>
      <w:r w:rsidR="027305A1" w:rsidRPr="0F263D0F">
        <w:rPr>
          <w:rFonts w:ascii="Arial" w:eastAsia="Tahoma" w:hAnsi="Arial" w:cs="Arial"/>
          <w:sz w:val="24"/>
          <w:szCs w:val="24"/>
        </w:rPr>
        <w:t xml:space="preserve">ending discussions with the </w:t>
      </w:r>
      <w:r w:rsidR="6D13F199" w:rsidRPr="0F263D0F">
        <w:rPr>
          <w:rFonts w:ascii="Arial" w:eastAsia="Tahoma" w:hAnsi="Arial" w:cs="Arial"/>
          <w:sz w:val="24"/>
          <w:szCs w:val="24"/>
        </w:rPr>
        <w:t xml:space="preserve">CEC and </w:t>
      </w:r>
      <w:r w:rsidR="027305A1" w:rsidRPr="0F263D0F">
        <w:rPr>
          <w:rFonts w:ascii="Arial" w:eastAsia="Tahoma" w:hAnsi="Arial" w:cs="Arial"/>
          <w:sz w:val="24"/>
          <w:szCs w:val="24"/>
        </w:rPr>
        <w:t>Co</w:t>
      </w:r>
      <w:r w:rsidR="69E1D863" w:rsidRPr="0F263D0F">
        <w:rPr>
          <w:rFonts w:ascii="Arial" w:eastAsia="Tahoma" w:hAnsi="Arial" w:cs="Arial"/>
          <w:sz w:val="24"/>
          <w:szCs w:val="24"/>
        </w:rPr>
        <w:t>mmission</w:t>
      </w:r>
      <w:r w:rsidR="027305A1" w:rsidRPr="0F263D0F">
        <w:rPr>
          <w:rFonts w:ascii="Arial" w:eastAsia="Tahoma" w:hAnsi="Arial" w:cs="Arial"/>
          <w:sz w:val="24"/>
          <w:szCs w:val="24"/>
        </w:rPr>
        <w:t xml:space="preserve"> Agreement Manager (CAM) regarding safeguarding customer privacy and preventing unwanted customer harassment</w:t>
      </w:r>
      <w:r w:rsidRPr="0F263D0F">
        <w:rPr>
          <w:rFonts w:ascii="Arial" w:eastAsia="Tahoma" w:hAnsi="Arial" w:cs="Arial"/>
          <w:sz w:val="24"/>
          <w:szCs w:val="24"/>
        </w:rPr>
        <w:t>.</w:t>
      </w:r>
    </w:p>
    <w:p w14:paraId="40D60913" w14:textId="77777777" w:rsidR="00AE4D4D" w:rsidRPr="00E57CE9" w:rsidRDefault="00AE4D4D" w:rsidP="335F434A">
      <w:pPr>
        <w:pStyle w:val="ListParagraph"/>
        <w:spacing w:after="0" w:line="276" w:lineRule="auto"/>
        <w:rPr>
          <w:rFonts w:ascii="Arial" w:eastAsia="Tahoma" w:hAnsi="Arial" w:cs="Arial"/>
          <w:sz w:val="24"/>
          <w:szCs w:val="24"/>
        </w:rPr>
      </w:pPr>
    </w:p>
    <w:p w14:paraId="25F20626" w14:textId="61086E1C" w:rsidR="00A5631D" w:rsidRPr="00E57CE9" w:rsidRDefault="3A1C69F9" w:rsidP="00BF2DF7">
      <w:pPr>
        <w:pStyle w:val="ListParagraph"/>
        <w:numPr>
          <w:ilvl w:val="0"/>
          <w:numId w:val="1"/>
        </w:numPr>
        <w:spacing w:after="0" w:line="276" w:lineRule="auto"/>
        <w:rPr>
          <w:rFonts w:ascii="Arial" w:eastAsia="Tahoma" w:hAnsi="Arial" w:cs="Arial"/>
          <w:sz w:val="24"/>
          <w:szCs w:val="24"/>
        </w:rPr>
      </w:pPr>
      <w:r w:rsidRPr="00E57CE9">
        <w:rPr>
          <w:rFonts w:ascii="Arial" w:eastAsia="Tahoma" w:hAnsi="Arial" w:cs="Arial"/>
          <w:sz w:val="24"/>
          <w:szCs w:val="24"/>
        </w:rPr>
        <w:t>M&amp;V: The SWI can query both electric and gas consumption data for participating customers in the P4P program. This includes data for a 12-month period before and after project installation, thereby facilitating the M&amp;V process.</w:t>
      </w:r>
    </w:p>
    <w:p w14:paraId="5C5936D4" w14:textId="561B3E15" w:rsidR="30FF0D4E" w:rsidRPr="00E57CE9" w:rsidRDefault="30FF0D4E" w:rsidP="00BF2DF7">
      <w:pPr>
        <w:pStyle w:val="ListParagraph"/>
        <w:spacing w:after="0" w:line="276" w:lineRule="auto"/>
        <w:rPr>
          <w:rFonts w:ascii="Arial" w:eastAsia="Tahoma" w:hAnsi="Arial" w:cs="Arial"/>
          <w:sz w:val="24"/>
          <w:szCs w:val="24"/>
        </w:rPr>
      </w:pPr>
    </w:p>
    <w:p w14:paraId="3DC87341" w14:textId="2A5E5B78" w:rsidR="40A7367C" w:rsidRPr="00E57CE9" w:rsidRDefault="5A967A70" w:rsidP="00BF2DF7">
      <w:pPr>
        <w:spacing w:line="276" w:lineRule="auto"/>
        <w:rPr>
          <w:rFonts w:ascii="Arial" w:eastAsia="Arial" w:hAnsi="Arial" w:cs="Arial"/>
          <w:sz w:val="24"/>
          <w:szCs w:val="24"/>
        </w:rPr>
      </w:pPr>
      <w:r w:rsidRPr="00E57CE9">
        <w:rPr>
          <w:rFonts w:ascii="Arial" w:eastAsia="Tahoma" w:hAnsi="Arial" w:cs="Arial"/>
          <w:sz w:val="24"/>
          <w:szCs w:val="24"/>
        </w:rPr>
        <w:t xml:space="preserve">The data is structured into multiple datasets, including billing records, interval meter readings, </w:t>
      </w:r>
      <w:r w:rsidR="2618F14A" w:rsidRPr="00E57CE9">
        <w:rPr>
          <w:rFonts w:ascii="Arial" w:eastAsia="Tahoma" w:hAnsi="Arial" w:cs="Arial"/>
          <w:sz w:val="24"/>
          <w:szCs w:val="24"/>
        </w:rPr>
        <w:t>and service account details.</w:t>
      </w:r>
    </w:p>
    <w:p w14:paraId="37373E9B" w14:textId="25EDB9CF" w:rsidR="000C1DDF" w:rsidRPr="00E57CE9" w:rsidRDefault="7C1E5E70" w:rsidP="00BF2DF7">
      <w:pPr>
        <w:spacing w:line="276" w:lineRule="auto"/>
        <w:rPr>
          <w:rFonts w:ascii="Arial" w:eastAsia="Tahoma" w:hAnsi="Arial" w:cs="Arial"/>
          <w:sz w:val="24"/>
          <w:szCs w:val="24"/>
        </w:rPr>
      </w:pPr>
      <w:r w:rsidRPr="00E57CE9">
        <w:rPr>
          <w:rFonts w:ascii="Arial" w:eastAsia="Tahoma" w:hAnsi="Arial" w:cs="Arial"/>
          <w:sz w:val="24"/>
          <w:szCs w:val="24"/>
        </w:rPr>
        <w:t xml:space="preserve">Table </w:t>
      </w:r>
      <w:r w:rsidR="005B64E8" w:rsidRPr="00E57CE9">
        <w:rPr>
          <w:rFonts w:ascii="Arial" w:eastAsia="Tahoma" w:hAnsi="Arial" w:cs="Arial"/>
          <w:sz w:val="24"/>
          <w:szCs w:val="24"/>
        </w:rPr>
        <w:t>G</w:t>
      </w:r>
      <w:r w:rsidRPr="00E57CE9">
        <w:rPr>
          <w:rFonts w:ascii="Arial" w:eastAsia="Tahoma" w:hAnsi="Arial" w:cs="Arial"/>
          <w:sz w:val="24"/>
          <w:szCs w:val="24"/>
        </w:rPr>
        <w:t xml:space="preserve">1 shows the </w:t>
      </w:r>
      <w:r w:rsidR="65411362" w:rsidRPr="00E57CE9">
        <w:rPr>
          <w:rFonts w:ascii="Arial" w:eastAsia="Tahoma" w:hAnsi="Arial" w:cs="Arial"/>
          <w:sz w:val="24"/>
          <w:szCs w:val="24"/>
        </w:rPr>
        <w:t>list of which utilities provide CEC with interval</w:t>
      </w:r>
      <w:r w:rsidR="58E33118" w:rsidRPr="00E57CE9">
        <w:rPr>
          <w:rFonts w:ascii="Arial" w:eastAsia="Tahoma" w:hAnsi="Arial" w:cs="Arial"/>
          <w:sz w:val="24"/>
          <w:szCs w:val="24"/>
        </w:rPr>
        <w:t xml:space="preserve"> meter data (IMD)</w:t>
      </w:r>
      <w:r w:rsidR="65411362" w:rsidRPr="00E57CE9">
        <w:rPr>
          <w:rFonts w:ascii="Arial" w:eastAsia="Tahoma" w:hAnsi="Arial" w:cs="Arial"/>
          <w:sz w:val="24"/>
          <w:szCs w:val="24"/>
        </w:rPr>
        <w:t xml:space="preserve"> versus monthly billing data</w:t>
      </w:r>
      <w:r w:rsidR="44A1B872" w:rsidRPr="00E57CE9">
        <w:rPr>
          <w:rFonts w:ascii="Arial" w:eastAsia="Tahoma" w:hAnsi="Arial" w:cs="Arial"/>
          <w:sz w:val="24"/>
          <w:szCs w:val="24"/>
        </w:rPr>
        <w:t>.</w:t>
      </w:r>
    </w:p>
    <w:p w14:paraId="1EA18241" w14:textId="6FD00F62" w:rsidR="3110A0DF" w:rsidRPr="00691682" w:rsidRDefault="09A43E4A" w:rsidP="00691682">
      <w:pPr>
        <w:pStyle w:val="Heading3"/>
        <w:spacing w:before="40" w:after="0"/>
        <w:jc w:val="center"/>
        <w:rPr>
          <w:rFonts w:ascii="Arial" w:hAnsi="Arial" w:cs="Arial"/>
          <w:b/>
          <w:bCs/>
          <w:color w:val="auto"/>
          <w:sz w:val="24"/>
          <w:szCs w:val="24"/>
        </w:rPr>
      </w:pPr>
      <w:r w:rsidRPr="00691682">
        <w:rPr>
          <w:rFonts w:ascii="Arial" w:hAnsi="Arial" w:cs="Arial"/>
          <w:b/>
          <w:bCs/>
          <w:color w:val="auto"/>
          <w:sz w:val="24"/>
          <w:szCs w:val="24"/>
        </w:rPr>
        <w:t xml:space="preserve">Table </w:t>
      </w:r>
      <w:r w:rsidR="00BE7624" w:rsidRPr="00691682">
        <w:rPr>
          <w:rFonts w:ascii="Arial" w:hAnsi="Arial" w:cs="Arial"/>
          <w:b/>
          <w:bCs/>
          <w:color w:val="auto"/>
          <w:sz w:val="24"/>
          <w:szCs w:val="24"/>
        </w:rPr>
        <w:t>G</w:t>
      </w:r>
      <w:r w:rsidRPr="00691682">
        <w:rPr>
          <w:rFonts w:ascii="Arial" w:hAnsi="Arial" w:cs="Arial"/>
          <w:b/>
          <w:bCs/>
          <w:color w:val="auto"/>
          <w:sz w:val="24"/>
          <w:szCs w:val="24"/>
        </w:rPr>
        <w:t>1: Summary of Utility Data Reporting to CEC</w:t>
      </w:r>
    </w:p>
    <w:tbl>
      <w:tblPr>
        <w:tblStyle w:val="TableGrid"/>
        <w:tblW w:w="0" w:type="auto"/>
        <w:tblLook w:val="04A0" w:firstRow="1" w:lastRow="0" w:firstColumn="1" w:lastColumn="0" w:noHBand="0" w:noVBand="1"/>
        <w:tblCaption w:val="G1: Summary of Utility Data Reporting to CEC"/>
        <w:tblDescription w:val="Table G1 shows 3 columns with information for Utility, Gas Data and Electric Data"/>
      </w:tblPr>
      <w:tblGrid>
        <w:gridCol w:w="3116"/>
        <w:gridCol w:w="2459"/>
        <w:gridCol w:w="3775"/>
      </w:tblGrid>
      <w:tr w:rsidR="00D32F54" w:rsidRPr="00E57CE9" w14:paraId="6F0EF0BE" w14:textId="77777777" w:rsidTr="00706EDE">
        <w:tc>
          <w:tcPr>
            <w:tcW w:w="3116" w:type="dxa"/>
          </w:tcPr>
          <w:p w14:paraId="3D61E195" w14:textId="0DF80292" w:rsidR="00D32F54" w:rsidRPr="00E57CE9" w:rsidRDefault="0A50D139" w:rsidP="00BF2DF7">
            <w:pPr>
              <w:spacing w:line="276" w:lineRule="auto"/>
              <w:rPr>
                <w:rFonts w:ascii="Arial" w:eastAsia="Tahoma" w:hAnsi="Arial" w:cs="Arial"/>
                <w:b/>
                <w:bCs/>
                <w:sz w:val="24"/>
                <w:szCs w:val="24"/>
              </w:rPr>
            </w:pPr>
            <w:r w:rsidRPr="00E57CE9">
              <w:rPr>
                <w:rFonts w:ascii="Arial" w:eastAsia="Tahoma" w:hAnsi="Arial" w:cs="Arial"/>
                <w:b/>
                <w:bCs/>
                <w:sz w:val="24"/>
                <w:szCs w:val="24"/>
              </w:rPr>
              <w:t>Utility</w:t>
            </w:r>
          </w:p>
        </w:tc>
        <w:tc>
          <w:tcPr>
            <w:tcW w:w="2459" w:type="dxa"/>
          </w:tcPr>
          <w:p w14:paraId="6F17E353" w14:textId="43965414" w:rsidR="00D32F54" w:rsidRPr="00E57CE9" w:rsidRDefault="01205CF2" w:rsidP="00BF2DF7">
            <w:pPr>
              <w:spacing w:line="276" w:lineRule="auto"/>
              <w:rPr>
                <w:rFonts w:ascii="Arial" w:eastAsia="Tahoma" w:hAnsi="Arial" w:cs="Arial"/>
                <w:b/>
                <w:bCs/>
                <w:sz w:val="24"/>
                <w:szCs w:val="24"/>
              </w:rPr>
            </w:pPr>
            <w:r w:rsidRPr="00E57CE9">
              <w:rPr>
                <w:rFonts w:ascii="Arial" w:eastAsia="Tahoma" w:hAnsi="Arial" w:cs="Arial"/>
                <w:b/>
                <w:bCs/>
                <w:sz w:val="24"/>
                <w:szCs w:val="24"/>
              </w:rPr>
              <w:t>Gas</w:t>
            </w:r>
            <w:r w:rsidR="0A50D139" w:rsidRPr="00E57CE9">
              <w:rPr>
                <w:rFonts w:ascii="Arial" w:eastAsia="Tahoma" w:hAnsi="Arial" w:cs="Arial"/>
                <w:b/>
                <w:bCs/>
                <w:sz w:val="24"/>
                <w:szCs w:val="24"/>
              </w:rPr>
              <w:t xml:space="preserve"> Data</w:t>
            </w:r>
          </w:p>
        </w:tc>
        <w:tc>
          <w:tcPr>
            <w:tcW w:w="3775" w:type="dxa"/>
          </w:tcPr>
          <w:p w14:paraId="0278CAF6" w14:textId="413FBCDB" w:rsidR="00D32F54" w:rsidRPr="00E57CE9" w:rsidRDefault="6BDD82E1" w:rsidP="00BF2DF7">
            <w:pPr>
              <w:spacing w:line="276" w:lineRule="auto"/>
              <w:rPr>
                <w:rFonts w:ascii="Arial" w:eastAsia="Tahoma" w:hAnsi="Arial" w:cs="Arial"/>
                <w:b/>
                <w:bCs/>
                <w:sz w:val="24"/>
                <w:szCs w:val="24"/>
              </w:rPr>
            </w:pPr>
            <w:r w:rsidRPr="00E57CE9">
              <w:rPr>
                <w:rFonts w:ascii="Arial" w:eastAsia="Tahoma" w:hAnsi="Arial" w:cs="Arial"/>
                <w:b/>
                <w:bCs/>
                <w:sz w:val="24"/>
                <w:szCs w:val="24"/>
              </w:rPr>
              <w:t>Electric</w:t>
            </w:r>
            <w:r w:rsidR="443AB299" w:rsidRPr="00E57CE9">
              <w:rPr>
                <w:rFonts w:ascii="Arial" w:eastAsia="Tahoma" w:hAnsi="Arial" w:cs="Arial"/>
                <w:b/>
                <w:bCs/>
                <w:sz w:val="24"/>
                <w:szCs w:val="24"/>
              </w:rPr>
              <w:t xml:space="preserve"> Data</w:t>
            </w:r>
          </w:p>
        </w:tc>
      </w:tr>
      <w:tr w:rsidR="00D32F54" w:rsidRPr="00E57CE9" w14:paraId="495D5109" w14:textId="77777777" w:rsidTr="00706EDE">
        <w:tc>
          <w:tcPr>
            <w:tcW w:w="3116" w:type="dxa"/>
          </w:tcPr>
          <w:p w14:paraId="2B369DC4" w14:textId="0A0A9109" w:rsidR="00D32F54" w:rsidRPr="00E57CE9" w:rsidRDefault="76CC8647" w:rsidP="00BF2DF7">
            <w:pPr>
              <w:spacing w:line="276" w:lineRule="auto"/>
              <w:rPr>
                <w:rFonts w:ascii="Arial" w:eastAsia="Tahoma" w:hAnsi="Arial" w:cs="Arial"/>
                <w:sz w:val="24"/>
                <w:szCs w:val="24"/>
              </w:rPr>
            </w:pPr>
            <w:r w:rsidRPr="00E57CE9">
              <w:rPr>
                <w:rFonts w:ascii="Arial" w:eastAsia="Tahoma" w:hAnsi="Arial" w:cs="Arial"/>
                <w:sz w:val="24"/>
                <w:szCs w:val="24"/>
              </w:rPr>
              <w:t>LADWP</w:t>
            </w:r>
          </w:p>
        </w:tc>
        <w:tc>
          <w:tcPr>
            <w:tcW w:w="2459" w:type="dxa"/>
          </w:tcPr>
          <w:p w14:paraId="694F329B" w14:textId="5ABA910C" w:rsidR="00D32F54" w:rsidRPr="00E57CE9" w:rsidRDefault="7E5EF073" w:rsidP="00BF2DF7">
            <w:pPr>
              <w:spacing w:line="276" w:lineRule="auto"/>
              <w:rPr>
                <w:rFonts w:ascii="Arial" w:eastAsia="Tahoma" w:hAnsi="Arial" w:cs="Arial"/>
                <w:sz w:val="24"/>
                <w:szCs w:val="24"/>
              </w:rPr>
            </w:pPr>
            <w:r w:rsidRPr="00E57CE9">
              <w:rPr>
                <w:rFonts w:ascii="Arial" w:eastAsia="Tahoma" w:hAnsi="Arial" w:cs="Arial"/>
                <w:sz w:val="24"/>
                <w:szCs w:val="24"/>
              </w:rPr>
              <w:t>No</w:t>
            </w:r>
          </w:p>
        </w:tc>
        <w:tc>
          <w:tcPr>
            <w:tcW w:w="3775" w:type="dxa"/>
          </w:tcPr>
          <w:p w14:paraId="1E554C50" w14:textId="113B3E43" w:rsidR="00D32F54" w:rsidRPr="00E57CE9" w:rsidRDefault="67A07FA6" w:rsidP="00BF2DF7">
            <w:pPr>
              <w:spacing w:line="276" w:lineRule="auto"/>
              <w:rPr>
                <w:rFonts w:ascii="Arial" w:eastAsia="Tahoma" w:hAnsi="Arial" w:cs="Arial"/>
                <w:sz w:val="24"/>
                <w:szCs w:val="24"/>
              </w:rPr>
            </w:pPr>
            <w:r w:rsidRPr="00E57CE9">
              <w:rPr>
                <w:rFonts w:ascii="Arial" w:eastAsia="Tahoma" w:hAnsi="Arial" w:cs="Arial"/>
                <w:sz w:val="24"/>
                <w:szCs w:val="24"/>
              </w:rPr>
              <w:t>Billing</w:t>
            </w:r>
          </w:p>
        </w:tc>
      </w:tr>
      <w:tr w:rsidR="00D32F54" w:rsidRPr="00E57CE9" w14:paraId="633DCB80" w14:textId="77777777" w:rsidTr="00706EDE">
        <w:tc>
          <w:tcPr>
            <w:tcW w:w="3116" w:type="dxa"/>
          </w:tcPr>
          <w:p w14:paraId="1BFA940C" w14:textId="7CB3BBB2" w:rsidR="00D32F54" w:rsidRPr="00E57CE9" w:rsidRDefault="19F59894" w:rsidP="00BF2DF7">
            <w:pPr>
              <w:spacing w:line="276" w:lineRule="auto"/>
              <w:rPr>
                <w:rFonts w:ascii="Arial" w:eastAsia="Tahoma" w:hAnsi="Arial" w:cs="Arial"/>
                <w:sz w:val="24"/>
                <w:szCs w:val="24"/>
              </w:rPr>
            </w:pPr>
            <w:r w:rsidRPr="00E57CE9">
              <w:rPr>
                <w:rFonts w:ascii="Arial" w:eastAsia="Tahoma" w:hAnsi="Arial" w:cs="Arial"/>
                <w:sz w:val="24"/>
                <w:szCs w:val="24"/>
              </w:rPr>
              <w:t>PG&amp;E</w:t>
            </w:r>
          </w:p>
        </w:tc>
        <w:tc>
          <w:tcPr>
            <w:tcW w:w="2459" w:type="dxa"/>
          </w:tcPr>
          <w:p w14:paraId="770E58AA" w14:textId="0F6F4CFD" w:rsidR="00D32F54" w:rsidRPr="00E57CE9" w:rsidRDefault="40CE442C" w:rsidP="00BF2DF7">
            <w:pPr>
              <w:spacing w:line="276" w:lineRule="auto"/>
              <w:rPr>
                <w:rFonts w:ascii="Arial" w:eastAsia="Tahoma" w:hAnsi="Arial" w:cs="Arial"/>
                <w:sz w:val="24"/>
                <w:szCs w:val="24"/>
              </w:rPr>
            </w:pPr>
            <w:r w:rsidRPr="00E57CE9">
              <w:rPr>
                <w:rFonts w:ascii="Arial" w:eastAsia="Tahoma" w:hAnsi="Arial" w:cs="Arial"/>
                <w:sz w:val="24"/>
                <w:szCs w:val="24"/>
              </w:rPr>
              <w:t>Billing</w:t>
            </w:r>
          </w:p>
        </w:tc>
        <w:tc>
          <w:tcPr>
            <w:tcW w:w="3775" w:type="dxa"/>
          </w:tcPr>
          <w:p w14:paraId="7C6C5675" w14:textId="456683C9" w:rsidR="00D32F54" w:rsidRPr="00E57CE9" w:rsidRDefault="6EF51C2B" w:rsidP="00BF2DF7">
            <w:pPr>
              <w:spacing w:line="276" w:lineRule="auto"/>
              <w:rPr>
                <w:rFonts w:ascii="Arial" w:eastAsia="Tahoma" w:hAnsi="Arial" w:cs="Arial"/>
                <w:sz w:val="24"/>
                <w:szCs w:val="24"/>
              </w:rPr>
            </w:pPr>
            <w:r w:rsidRPr="00E57CE9">
              <w:rPr>
                <w:rFonts w:ascii="Arial" w:eastAsia="Tahoma" w:hAnsi="Arial" w:cs="Arial"/>
                <w:sz w:val="24"/>
                <w:szCs w:val="24"/>
              </w:rPr>
              <w:t>Billing + Interval</w:t>
            </w:r>
            <w:r w:rsidR="0C7A8559" w:rsidRPr="00E57CE9">
              <w:rPr>
                <w:rFonts w:ascii="Arial" w:eastAsia="Tahoma" w:hAnsi="Arial" w:cs="Arial"/>
                <w:sz w:val="24"/>
                <w:szCs w:val="24"/>
              </w:rPr>
              <w:t xml:space="preserve"> (15 mins &amp; hourly)</w:t>
            </w:r>
          </w:p>
        </w:tc>
      </w:tr>
      <w:tr w:rsidR="00D32F54" w:rsidRPr="00E57CE9" w14:paraId="55588349" w14:textId="77777777" w:rsidTr="00706EDE">
        <w:tc>
          <w:tcPr>
            <w:tcW w:w="3116" w:type="dxa"/>
          </w:tcPr>
          <w:p w14:paraId="54B4D739" w14:textId="080C77DD" w:rsidR="00D32F54" w:rsidRPr="00E57CE9" w:rsidRDefault="19F59894" w:rsidP="00BF2DF7">
            <w:pPr>
              <w:spacing w:line="276" w:lineRule="auto"/>
              <w:rPr>
                <w:rFonts w:ascii="Arial" w:eastAsia="Tahoma" w:hAnsi="Arial" w:cs="Arial"/>
                <w:sz w:val="24"/>
                <w:szCs w:val="24"/>
              </w:rPr>
            </w:pPr>
            <w:r w:rsidRPr="00E57CE9">
              <w:rPr>
                <w:rFonts w:ascii="Arial" w:eastAsia="Tahoma" w:hAnsi="Arial" w:cs="Arial"/>
                <w:sz w:val="24"/>
                <w:szCs w:val="24"/>
              </w:rPr>
              <w:t>SCE</w:t>
            </w:r>
          </w:p>
        </w:tc>
        <w:tc>
          <w:tcPr>
            <w:tcW w:w="2459" w:type="dxa"/>
          </w:tcPr>
          <w:p w14:paraId="38B18ADC" w14:textId="378C4759" w:rsidR="00D32F54" w:rsidRPr="00E57CE9" w:rsidRDefault="479DCC7C" w:rsidP="00BF2DF7">
            <w:pPr>
              <w:spacing w:line="276" w:lineRule="auto"/>
              <w:rPr>
                <w:rFonts w:ascii="Arial" w:eastAsia="Tahoma" w:hAnsi="Arial" w:cs="Arial"/>
                <w:sz w:val="24"/>
                <w:szCs w:val="24"/>
              </w:rPr>
            </w:pPr>
            <w:r w:rsidRPr="00E57CE9">
              <w:rPr>
                <w:rFonts w:ascii="Arial" w:eastAsia="Tahoma" w:hAnsi="Arial" w:cs="Arial"/>
                <w:sz w:val="24"/>
                <w:szCs w:val="24"/>
              </w:rPr>
              <w:t>No</w:t>
            </w:r>
          </w:p>
        </w:tc>
        <w:tc>
          <w:tcPr>
            <w:tcW w:w="3775" w:type="dxa"/>
          </w:tcPr>
          <w:p w14:paraId="0E28FC02" w14:textId="311D48C4" w:rsidR="00D32F54" w:rsidRPr="00E57CE9" w:rsidRDefault="0856AC69" w:rsidP="00BF2DF7">
            <w:pPr>
              <w:spacing w:line="276" w:lineRule="auto"/>
              <w:rPr>
                <w:rFonts w:ascii="Arial" w:eastAsia="Tahoma" w:hAnsi="Arial" w:cs="Arial"/>
                <w:sz w:val="24"/>
                <w:szCs w:val="24"/>
              </w:rPr>
            </w:pPr>
            <w:r w:rsidRPr="00E57CE9">
              <w:rPr>
                <w:rFonts w:ascii="Arial" w:eastAsia="Tahoma" w:hAnsi="Arial" w:cs="Arial"/>
                <w:sz w:val="24"/>
                <w:szCs w:val="24"/>
              </w:rPr>
              <w:t>Billing + Interval</w:t>
            </w:r>
            <w:r w:rsidR="4B869077" w:rsidRPr="00E57CE9">
              <w:rPr>
                <w:rFonts w:ascii="Arial" w:eastAsia="Tahoma" w:hAnsi="Arial" w:cs="Arial"/>
                <w:sz w:val="24"/>
                <w:szCs w:val="24"/>
              </w:rPr>
              <w:t xml:space="preserve"> (15 mins &amp; hourly)</w:t>
            </w:r>
          </w:p>
        </w:tc>
      </w:tr>
      <w:tr w:rsidR="00D32F54" w:rsidRPr="00E57CE9" w14:paraId="59C3943D" w14:textId="77777777" w:rsidTr="00706EDE">
        <w:tc>
          <w:tcPr>
            <w:tcW w:w="3116" w:type="dxa"/>
          </w:tcPr>
          <w:p w14:paraId="3FB167F4" w14:textId="279F8609" w:rsidR="00D32F54" w:rsidRPr="00E57CE9" w:rsidRDefault="19F59894" w:rsidP="00BF2DF7">
            <w:pPr>
              <w:spacing w:line="276" w:lineRule="auto"/>
              <w:rPr>
                <w:rFonts w:ascii="Arial" w:eastAsia="Tahoma" w:hAnsi="Arial" w:cs="Arial"/>
                <w:sz w:val="24"/>
                <w:szCs w:val="24"/>
              </w:rPr>
            </w:pPr>
            <w:r w:rsidRPr="00E57CE9">
              <w:rPr>
                <w:rFonts w:ascii="Arial" w:eastAsia="Tahoma" w:hAnsi="Arial" w:cs="Arial"/>
                <w:sz w:val="24"/>
                <w:szCs w:val="24"/>
              </w:rPr>
              <w:t>SCG</w:t>
            </w:r>
          </w:p>
        </w:tc>
        <w:tc>
          <w:tcPr>
            <w:tcW w:w="2459" w:type="dxa"/>
          </w:tcPr>
          <w:p w14:paraId="13EDCCB7" w14:textId="27DE334A" w:rsidR="00D32F54" w:rsidRPr="00E57CE9" w:rsidRDefault="7621FA79" w:rsidP="00BF2DF7">
            <w:pPr>
              <w:spacing w:line="276" w:lineRule="auto"/>
              <w:rPr>
                <w:rFonts w:ascii="Arial" w:eastAsia="Tahoma" w:hAnsi="Arial" w:cs="Arial"/>
                <w:sz w:val="24"/>
                <w:szCs w:val="24"/>
              </w:rPr>
            </w:pPr>
            <w:r w:rsidRPr="00E57CE9">
              <w:rPr>
                <w:rFonts w:ascii="Arial" w:eastAsia="Tahoma" w:hAnsi="Arial" w:cs="Arial"/>
                <w:sz w:val="24"/>
                <w:szCs w:val="24"/>
              </w:rPr>
              <w:t>Billing</w:t>
            </w:r>
          </w:p>
        </w:tc>
        <w:tc>
          <w:tcPr>
            <w:tcW w:w="3775" w:type="dxa"/>
          </w:tcPr>
          <w:p w14:paraId="24D3507D" w14:textId="133594DE" w:rsidR="00D32F54" w:rsidRPr="00E57CE9" w:rsidRDefault="08B8F2DC" w:rsidP="00BF2DF7">
            <w:pPr>
              <w:spacing w:line="276" w:lineRule="auto"/>
              <w:rPr>
                <w:rFonts w:ascii="Arial" w:eastAsia="Tahoma" w:hAnsi="Arial" w:cs="Arial"/>
                <w:sz w:val="24"/>
                <w:szCs w:val="24"/>
              </w:rPr>
            </w:pPr>
            <w:r w:rsidRPr="00E57CE9">
              <w:rPr>
                <w:rFonts w:ascii="Arial" w:eastAsia="Tahoma" w:hAnsi="Arial" w:cs="Arial"/>
                <w:sz w:val="24"/>
                <w:szCs w:val="24"/>
              </w:rPr>
              <w:t>No</w:t>
            </w:r>
          </w:p>
        </w:tc>
      </w:tr>
      <w:tr w:rsidR="00D32F54" w:rsidRPr="00E57CE9" w14:paraId="07EBFF31" w14:textId="77777777" w:rsidTr="00706EDE">
        <w:tc>
          <w:tcPr>
            <w:tcW w:w="3116" w:type="dxa"/>
          </w:tcPr>
          <w:p w14:paraId="3F1AD747" w14:textId="78C9D654" w:rsidR="00D32F54" w:rsidRPr="00E57CE9" w:rsidRDefault="19F59894" w:rsidP="00BF2DF7">
            <w:pPr>
              <w:spacing w:line="276" w:lineRule="auto"/>
              <w:rPr>
                <w:rFonts w:ascii="Arial" w:eastAsia="Tahoma" w:hAnsi="Arial" w:cs="Arial"/>
                <w:sz w:val="24"/>
                <w:szCs w:val="24"/>
              </w:rPr>
            </w:pPr>
            <w:r w:rsidRPr="00E57CE9">
              <w:rPr>
                <w:rFonts w:ascii="Arial" w:eastAsia="Tahoma" w:hAnsi="Arial" w:cs="Arial"/>
                <w:sz w:val="24"/>
                <w:szCs w:val="24"/>
              </w:rPr>
              <w:t>SDG&amp;E</w:t>
            </w:r>
          </w:p>
        </w:tc>
        <w:tc>
          <w:tcPr>
            <w:tcW w:w="2459" w:type="dxa"/>
          </w:tcPr>
          <w:p w14:paraId="03C1A6F3" w14:textId="5E0E7C23" w:rsidR="00D32F54" w:rsidRPr="00E57CE9" w:rsidRDefault="6733E9F4" w:rsidP="00BF2DF7">
            <w:pPr>
              <w:spacing w:line="276" w:lineRule="auto"/>
              <w:rPr>
                <w:rFonts w:ascii="Arial" w:eastAsia="Tahoma" w:hAnsi="Arial" w:cs="Arial"/>
                <w:sz w:val="24"/>
                <w:szCs w:val="24"/>
              </w:rPr>
            </w:pPr>
            <w:r w:rsidRPr="00E57CE9">
              <w:rPr>
                <w:rFonts w:ascii="Arial" w:eastAsia="Tahoma" w:hAnsi="Arial" w:cs="Arial"/>
                <w:sz w:val="24"/>
                <w:szCs w:val="24"/>
              </w:rPr>
              <w:t>Billing</w:t>
            </w:r>
          </w:p>
        </w:tc>
        <w:tc>
          <w:tcPr>
            <w:tcW w:w="3775" w:type="dxa"/>
          </w:tcPr>
          <w:p w14:paraId="372E57D3" w14:textId="0F81AEAA" w:rsidR="00D32F54" w:rsidRPr="00E57CE9" w:rsidRDefault="26BD85A7" w:rsidP="00BF2DF7">
            <w:pPr>
              <w:spacing w:line="276" w:lineRule="auto"/>
              <w:rPr>
                <w:rFonts w:ascii="Arial" w:eastAsia="Tahoma" w:hAnsi="Arial" w:cs="Arial"/>
                <w:sz w:val="24"/>
                <w:szCs w:val="24"/>
              </w:rPr>
            </w:pPr>
            <w:r w:rsidRPr="00E57CE9">
              <w:rPr>
                <w:rFonts w:ascii="Arial" w:eastAsia="Tahoma" w:hAnsi="Arial" w:cs="Arial"/>
                <w:sz w:val="24"/>
                <w:szCs w:val="24"/>
              </w:rPr>
              <w:t>Billing + Interval</w:t>
            </w:r>
            <w:r w:rsidR="1701F18A" w:rsidRPr="00E57CE9">
              <w:rPr>
                <w:rFonts w:ascii="Arial" w:eastAsia="Tahoma" w:hAnsi="Arial" w:cs="Arial"/>
                <w:sz w:val="24"/>
                <w:szCs w:val="24"/>
              </w:rPr>
              <w:t xml:space="preserve"> (15 </w:t>
            </w:r>
            <w:r w:rsidR="1A1AFDEE" w:rsidRPr="00E57CE9">
              <w:rPr>
                <w:rFonts w:ascii="Arial" w:eastAsia="Tahoma" w:hAnsi="Arial" w:cs="Arial"/>
                <w:sz w:val="24"/>
                <w:szCs w:val="24"/>
              </w:rPr>
              <w:t xml:space="preserve">mins </w:t>
            </w:r>
            <w:r w:rsidR="1701F18A" w:rsidRPr="00E57CE9">
              <w:rPr>
                <w:rFonts w:ascii="Arial" w:eastAsia="Tahoma" w:hAnsi="Arial" w:cs="Arial"/>
                <w:sz w:val="24"/>
                <w:szCs w:val="24"/>
              </w:rPr>
              <w:t>&amp; hourly)</w:t>
            </w:r>
          </w:p>
        </w:tc>
      </w:tr>
      <w:tr w:rsidR="00D32F54" w:rsidRPr="00E57CE9" w14:paraId="0E63ED92" w14:textId="77777777" w:rsidTr="00706EDE">
        <w:tc>
          <w:tcPr>
            <w:tcW w:w="3116" w:type="dxa"/>
          </w:tcPr>
          <w:p w14:paraId="03A99D7F" w14:textId="7510BC41" w:rsidR="00D32F54" w:rsidRPr="00E57CE9" w:rsidRDefault="19F59894" w:rsidP="00BF2DF7">
            <w:pPr>
              <w:spacing w:line="276" w:lineRule="auto"/>
              <w:rPr>
                <w:rFonts w:ascii="Arial" w:eastAsia="Tahoma" w:hAnsi="Arial" w:cs="Arial"/>
                <w:sz w:val="24"/>
                <w:szCs w:val="24"/>
              </w:rPr>
            </w:pPr>
            <w:r w:rsidRPr="00E57CE9">
              <w:rPr>
                <w:rFonts w:ascii="Arial" w:eastAsia="Tahoma" w:hAnsi="Arial" w:cs="Arial"/>
                <w:sz w:val="24"/>
                <w:szCs w:val="24"/>
              </w:rPr>
              <w:t>SMUD</w:t>
            </w:r>
          </w:p>
        </w:tc>
        <w:tc>
          <w:tcPr>
            <w:tcW w:w="2459" w:type="dxa"/>
          </w:tcPr>
          <w:p w14:paraId="1D0BC870" w14:textId="0E5F1B51" w:rsidR="00D32F54" w:rsidRPr="00E57CE9" w:rsidRDefault="1EF2F1F2" w:rsidP="00BF2DF7">
            <w:pPr>
              <w:spacing w:line="276" w:lineRule="auto"/>
              <w:rPr>
                <w:rFonts w:ascii="Arial" w:eastAsia="Tahoma" w:hAnsi="Arial" w:cs="Arial"/>
                <w:sz w:val="24"/>
                <w:szCs w:val="24"/>
              </w:rPr>
            </w:pPr>
            <w:r w:rsidRPr="00E57CE9">
              <w:rPr>
                <w:rFonts w:ascii="Arial" w:eastAsia="Tahoma" w:hAnsi="Arial" w:cs="Arial"/>
                <w:sz w:val="24"/>
                <w:szCs w:val="24"/>
              </w:rPr>
              <w:t>No</w:t>
            </w:r>
          </w:p>
        </w:tc>
        <w:tc>
          <w:tcPr>
            <w:tcW w:w="3775" w:type="dxa"/>
          </w:tcPr>
          <w:p w14:paraId="6815261C" w14:textId="14EDC1DB" w:rsidR="00D32F54" w:rsidRPr="00E57CE9" w:rsidRDefault="05C4C6B2" w:rsidP="00BF2DF7">
            <w:pPr>
              <w:spacing w:line="276" w:lineRule="auto"/>
              <w:rPr>
                <w:rFonts w:ascii="Arial" w:eastAsia="Tahoma" w:hAnsi="Arial" w:cs="Arial"/>
                <w:sz w:val="24"/>
                <w:szCs w:val="24"/>
              </w:rPr>
            </w:pPr>
            <w:r w:rsidRPr="00E57CE9">
              <w:rPr>
                <w:rFonts w:ascii="Arial" w:eastAsia="Tahoma" w:hAnsi="Arial" w:cs="Arial"/>
                <w:sz w:val="24"/>
                <w:szCs w:val="24"/>
              </w:rPr>
              <w:t>Billing + Interval</w:t>
            </w:r>
            <w:r w:rsidR="7647C72F" w:rsidRPr="00E57CE9">
              <w:rPr>
                <w:rFonts w:ascii="Arial" w:eastAsia="Tahoma" w:hAnsi="Arial" w:cs="Arial"/>
                <w:sz w:val="24"/>
                <w:szCs w:val="24"/>
              </w:rPr>
              <w:t xml:space="preserve"> (15 mins </w:t>
            </w:r>
            <w:r w:rsidR="00706EDE" w:rsidRPr="00E57CE9">
              <w:rPr>
                <w:rFonts w:ascii="Arial" w:eastAsia="Tahoma" w:hAnsi="Arial" w:cs="Arial"/>
                <w:sz w:val="24"/>
                <w:szCs w:val="24"/>
              </w:rPr>
              <w:t>&amp;</w:t>
            </w:r>
            <w:r w:rsidR="7647C72F" w:rsidRPr="00E57CE9">
              <w:rPr>
                <w:rFonts w:ascii="Arial" w:eastAsia="Tahoma" w:hAnsi="Arial" w:cs="Arial"/>
                <w:sz w:val="24"/>
                <w:szCs w:val="24"/>
              </w:rPr>
              <w:t xml:space="preserve"> hourly)</w:t>
            </w:r>
          </w:p>
        </w:tc>
      </w:tr>
    </w:tbl>
    <w:p w14:paraId="10DFB6F8" w14:textId="1388551C" w:rsidR="35E3E3B5" w:rsidRPr="00E57CE9" w:rsidRDefault="35E3E3B5" w:rsidP="00C56CEE">
      <w:pPr>
        <w:spacing w:before="120" w:after="120" w:line="276" w:lineRule="auto"/>
        <w:rPr>
          <w:rFonts w:ascii="Arial" w:eastAsia="Tahoma" w:hAnsi="Arial" w:cs="Arial"/>
          <w:i/>
          <w:sz w:val="24"/>
          <w:szCs w:val="24"/>
        </w:rPr>
      </w:pPr>
      <w:r w:rsidRPr="00E57CE9">
        <w:rPr>
          <w:rFonts w:ascii="Arial" w:eastAsia="Tahoma" w:hAnsi="Arial" w:cs="Arial"/>
          <w:i/>
          <w:sz w:val="24"/>
          <w:szCs w:val="24"/>
        </w:rPr>
        <w:t xml:space="preserve">Note: Phase 3 adds interval data for smart gas meters. The availability and granularity of gas interval data may vary by utility and meter capability; the smallest gas interval </w:t>
      </w:r>
      <w:r w:rsidRPr="00E57CE9">
        <w:rPr>
          <w:rFonts w:ascii="Arial" w:eastAsia="Tahoma" w:hAnsi="Arial" w:cs="Arial"/>
          <w:i/>
          <w:sz w:val="24"/>
          <w:szCs w:val="24"/>
        </w:rPr>
        <w:lastRenderedPageBreak/>
        <w:t>commonly collected is expected to be daily. The SWI should verify implementation status and data completeness before relying on gas interval data for their workflows.</w:t>
      </w:r>
    </w:p>
    <w:p w14:paraId="1B04F181" w14:textId="5498DBC5" w:rsidR="004D0770" w:rsidRDefault="09C3A105" w:rsidP="00BF2DF7">
      <w:pPr>
        <w:spacing w:after="120" w:line="276" w:lineRule="auto"/>
        <w:rPr>
          <w:rFonts w:ascii="Arial" w:eastAsia="Tahoma" w:hAnsi="Arial" w:cs="Arial"/>
          <w:sz w:val="24"/>
          <w:szCs w:val="24"/>
        </w:rPr>
      </w:pPr>
      <w:r w:rsidRPr="00E57CE9">
        <w:rPr>
          <w:rFonts w:ascii="Arial" w:eastAsia="Tahoma" w:hAnsi="Arial" w:cs="Arial"/>
          <w:sz w:val="24"/>
          <w:szCs w:val="24"/>
        </w:rPr>
        <w:t xml:space="preserve">Table </w:t>
      </w:r>
      <w:r w:rsidR="00EA246F" w:rsidRPr="00E57CE9">
        <w:rPr>
          <w:rFonts w:ascii="Arial" w:eastAsia="Tahoma" w:hAnsi="Arial" w:cs="Arial"/>
          <w:sz w:val="24"/>
          <w:szCs w:val="24"/>
        </w:rPr>
        <w:t>G</w:t>
      </w:r>
      <w:r w:rsidRPr="00E57CE9">
        <w:rPr>
          <w:rFonts w:ascii="Arial" w:eastAsia="Tahoma" w:hAnsi="Arial" w:cs="Arial"/>
          <w:sz w:val="24"/>
          <w:szCs w:val="24"/>
        </w:rPr>
        <w:t>2 shows the type of data that the SWI could access</w:t>
      </w:r>
      <w:r w:rsidR="086FC1E1" w:rsidRPr="00E57CE9">
        <w:rPr>
          <w:rFonts w:ascii="Arial" w:eastAsia="Tahoma" w:hAnsi="Arial" w:cs="Arial"/>
          <w:sz w:val="24"/>
          <w:szCs w:val="24"/>
        </w:rPr>
        <w:t>.</w:t>
      </w:r>
    </w:p>
    <w:p w14:paraId="69A42A51" w14:textId="4744F9D8" w:rsidR="008F6229" w:rsidRPr="00691682" w:rsidRDefault="00050E1E" w:rsidP="00691682">
      <w:pPr>
        <w:pStyle w:val="Heading3"/>
        <w:spacing w:before="40" w:after="0"/>
        <w:jc w:val="center"/>
        <w:rPr>
          <w:rFonts w:ascii="Arial" w:hAnsi="Arial" w:cs="Arial"/>
          <w:b/>
          <w:bCs/>
          <w:color w:val="auto"/>
          <w:sz w:val="24"/>
          <w:szCs w:val="24"/>
        </w:rPr>
      </w:pPr>
      <w:r w:rsidRPr="00691682">
        <w:rPr>
          <w:rFonts w:ascii="Arial" w:hAnsi="Arial" w:cs="Arial"/>
          <w:b/>
          <w:bCs/>
          <w:color w:val="auto"/>
          <w:sz w:val="24"/>
          <w:szCs w:val="24"/>
        </w:rPr>
        <w:t>T</w:t>
      </w:r>
      <w:r w:rsidR="17476FF7" w:rsidRPr="00691682">
        <w:rPr>
          <w:rFonts w:ascii="Arial" w:hAnsi="Arial" w:cs="Arial"/>
          <w:b/>
          <w:bCs/>
          <w:color w:val="auto"/>
          <w:sz w:val="24"/>
          <w:szCs w:val="24"/>
        </w:rPr>
        <w:t xml:space="preserve">able </w:t>
      </w:r>
      <w:r w:rsidR="00EA246F" w:rsidRPr="00691682">
        <w:rPr>
          <w:rFonts w:ascii="Arial" w:hAnsi="Arial" w:cs="Arial"/>
          <w:b/>
          <w:bCs/>
          <w:color w:val="auto"/>
          <w:sz w:val="24"/>
          <w:szCs w:val="24"/>
        </w:rPr>
        <w:t>G</w:t>
      </w:r>
      <w:r w:rsidR="17476FF7" w:rsidRPr="00691682">
        <w:rPr>
          <w:rFonts w:ascii="Arial" w:hAnsi="Arial" w:cs="Arial"/>
          <w:b/>
          <w:bCs/>
          <w:color w:val="auto"/>
          <w:sz w:val="24"/>
          <w:szCs w:val="24"/>
        </w:rPr>
        <w:t>2. Overview of Data Available from CEC’s Snowflake Data Warehouse</w:t>
      </w:r>
    </w:p>
    <w:tbl>
      <w:tblPr>
        <w:tblW w:w="9360"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Caption w:val="G2: Overview of Data Available for CEC's Snowflake Data Warehouse"/>
        <w:tblDescription w:val="Table G2 contains 3 columns displaying Table Name (in the Snowflake Data Warehouse) , Description and Example Fields"/>
      </w:tblPr>
      <w:tblGrid>
        <w:gridCol w:w="1790"/>
        <w:gridCol w:w="3780"/>
        <w:gridCol w:w="3790"/>
      </w:tblGrid>
      <w:tr w:rsidR="2869E740" w:rsidRPr="00E57CE9" w14:paraId="6C5E5FC1" w14:textId="77777777" w:rsidTr="335F434A">
        <w:trPr>
          <w:trHeight w:val="300"/>
          <w:tblHeader/>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9080A4D" w14:textId="01EE1034" w:rsidR="3BC61033" w:rsidRPr="00E57CE9" w:rsidRDefault="12F73DE3" w:rsidP="00BF2DF7">
            <w:pPr>
              <w:spacing w:line="276" w:lineRule="auto"/>
              <w:rPr>
                <w:rFonts w:ascii="Arial" w:eastAsia="Tahoma" w:hAnsi="Arial" w:cs="Arial"/>
                <w:b/>
                <w:bCs/>
                <w:sz w:val="24"/>
                <w:szCs w:val="24"/>
              </w:rPr>
            </w:pPr>
            <w:r w:rsidRPr="7AEEFF91">
              <w:rPr>
                <w:rFonts w:ascii="Arial" w:eastAsia="Tahoma" w:hAnsi="Arial" w:cs="Arial"/>
                <w:b/>
                <w:bCs/>
                <w:sz w:val="24"/>
                <w:szCs w:val="24"/>
              </w:rPr>
              <w:t>Table</w:t>
            </w:r>
            <w:r w:rsidRPr="117CB425">
              <w:rPr>
                <w:rFonts w:ascii="Arial" w:eastAsia="Tahoma" w:hAnsi="Arial" w:cs="Arial"/>
                <w:b/>
                <w:bCs/>
                <w:sz w:val="24"/>
                <w:szCs w:val="24"/>
              </w:rPr>
              <w:t xml:space="preserve"> Name</w:t>
            </w:r>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AAB711" w14:textId="625D97EC" w:rsidR="2869E740" w:rsidRPr="00E57CE9" w:rsidRDefault="2869E740" w:rsidP="00BF2DF7">
            <w:pPr>
              <w:spacing w:line="276" w:lineRule="auto"/>
              <w:rPr>
                <w:rFonts w:ascii="Arial" w:eastAsia="Tahoma" w:hAnsi="Arial" w:cs="Arial"/>
                <w:b/>
                <w:bCs/>
                <w:sz w:val="24"/>
                <w:szCs w:val="24"/>
              </w:rPr>
            </w:pPr>
            <w:r w:rsidRPr="00E57CE9">
              <w:rPr>
                <w:rFonts w:ascii="Arial" w:eastAsia="Tahoma" w:hAnsi="Arial" w:cs="Arial"/>
                <w:b/>
                <w:bCs/>
                <w:sz w:val="24"/>
                <w:szCs w:val="24"/>
              </w:rPr>
              <w:t>Description</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3CAD359" w14:textId="224A4C09" w:rsidR="2869E740" w:rsidRPr="00E57CE9" w:rsidRDefault="2869E740" w:rsidP="00BF2DF7">
            <w:pPr>
              <w:spacing w:line="276" w:lineRule="auto"/>
              <w:rPr>
                <w:rFonts w:ascii="Arial" w:eastAsia="Tahoma" w:hAnsi="Arial" w:cs="Arial"/>
                <w:b/>
                <w:bCs/>
                <w:sz w:val="24"/>
                <w:szCs w:val="24"/>
              </w:rPr>
            </w:pPr>
            <w:r w:rsidRPr="00E57CE9">
              <w:rPr>
                <w:rFonts w:ascii="Arial" w:eastAsia="Tahoma" w:hAnsi="Arial" w:cs="Arial"/>
                <w:b/>
                <w:bCs/>
                <w:sz w:val="24"/>
                <w:szCs w:val="24"/>
              </w:rPr>
              <w:t>Example Fields</w:t>
            </w:r>
          </w:p>
        </w:tc>
      </w:tr>
      <w:tr w:rsidR="2869E740" w:rsidRPr="00E57CE9" w14:paraId="6D6EF342"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0714C7" w14:textId="3C76E812"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BillingChargesElec</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186AF2E" w14:textId="1F16FFDB" w:rsidR="2869E740" w:rsidRPr="00E57CE9" w:rsidRDefault="2869E740" w:rsidP="00BF2DF7">
            <w:pPr>
              <w:spacing w:line="276" w:lineRule="auto"/>
              <w:rPr>
                <w:rFonts w:ascii="Arial" w:eastAsia="Tahoma" w:hAnsi="Arial" w:cs="Arial"/>
                <w:sz w:val="24"/>
                <w:szCs w:val="24"/>
              </w:rPr>
            </w:pPr>
            <w:r w:rsidRPr="00E57CE9">
              <w:rPr>
                <w:rFonts w:ascii="Arial" w:eastAsia="Tahoma" w:hAnsi="Arial" w:cs="Arial"/>
                <w:sz w:val="24"/>
                <w:szCs w:val="24"/>
              </w:rPr>
              <w:t>Contains billing charges for electricity consumption, detailing costs incurred by each service account during the billing period.</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B001524" w14:textId="05FD01C1" w:rsidR="2869E740" w:rsidRPr="00E57CE9" w:rsidRDefault="2869E740" w:rsidP="335F434A">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ServiceAccountID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BillCharge</w:t>
            </w:r>
            <w:proofErr w:type="spellEnd"/>
          </w:p>
        </w:tc>
      </w:tr>
      <w:tr w:rsidR="2869E740" w:rsidRPr="00E57CE9" w14:paraId="567D1EAE"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F34B29D" w14:textId="7294132C"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MeteredConsumptionElec</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E178709" w14:textId="3C5C8CF9" w:rsidR="72028023" w:rsidRPr="00E57CE9" w:rsidRDefault="72028023" w:rsidP="00BF2DF7">
            <w:pPr>
              <w:spacing w:line="276" w:lineRule="auto"/>
              <w:rPr>
                <w:rFonts w:ascii="Arial" w:eastAsia="Tahoma" w:hAnsi="Arial" w:cs="Arial"/>
                <w:sz w:val="24"/>
                <w:szCs w:val="24"/>
              </w:rPr>
            </w:pPr>
            <w:r w:rsidRPr="00E57CE9">
              <w:rPr>
                <w:rFonts w:ascii="Arial" w:eastAsia="Tahoma" w:hAnsi="Arial" w:cs="Arial"/>
                <w:color w:val="000000" w:themeColor="text1"/>
                <w:sz w:val="24"/>
                <w:szCs w:val="24"/>
              </w:rPr>
              <w:t>Contains metered electricity consumption by meter and billing period, along with associated customer and rate class information during this period.</w:t>
            </w:r>
            <w:r w:rsidRPr="00E57CE9">
              <w:rPr>
                <w:rFonts w:ascii="Arial" w:eastAsia="Tahoma" w:hAnsi="Arial" w:cs="Arial"/>
                <w:sz w:val="24"/>
                <w:szCs w:val="24"/>
              </w:rPr>
              <w:t xml:space="preserve"> </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AD77FB9" w14:textId="03A1CB32" w:rsidR="2869E740" w:rsidRPr="00E57CE9" w:rsidRDefault="2869E740" w:rsidP="335F434A">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MeterID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KwhNet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CustomerClassificationCode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RateScheduleCode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AlternativeProviderID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IsGenOnlyMeter</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NEMGenGroupID</w:t>
            </w:r>
            <w:proofErr w:type="spellEnd"/>
          </w:p>
        </w:tc>
      </w:tr>
      <w:tr w:rsidR="2869E740" w:rsidRPr="00E57CE9" w14:paraId="7FEFB189"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A461FBD" w14:textId="35F8BDD5"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UnmeteredConsumptionElec</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931A1EC" w14:textId="00310DAD" w:rsidR="452ED5D4" w:rsidRPr="00E57CE9" w:rsidRDefault="1908C6EF" w:rsidP="00BF2DF7">
            <w:pPr>
              <w:spacing w:line="276" w:lineRule="auto"/>
              <w:rPr>
                <w:rFonts w:ascii="Arial" w:eastAsia="Tahoma" w:hAnsi="Arial" w:cs="Arial"/>
                <w:color w:val="000000" w:themeColor="text1"/>
                <w:sz w:val="24"/>
                <w:szCs w:val="24"/>
              </w:rPr>
            </w:pPr>
            <w:r w:rsidRPr="00E57CE9">
              <w:rPr>
                <w:rFonts w:ascii="Arial" w:eastAsia="Tahoma" w:hAnsi="Arial" w:cs="Arial"/>
                <w:color w:val="000000" w:themeColor="text1"/>
                <w:sz w:val="24"/>
                <w:szCs w:val="24"/>
              </w:rPr>
              <w:t>Contains estimates of electricity consumption by service account and billing period, along with associated customer and rate class information during this period.</w:t>
            </w:r>
            <w:r w:rsidR="763172D0" w:rsidRPr="00E57CE9">
              <w:rPr>
                <w:rFonts w:ascii="Arial" w:eastAsia="Tahoma" w:hAnsi="Arial" w:cs="Arial"/>
                <w:color w:val="000000" w:themeColor="text1"/>
                <w:sz w:val="24"/>
                <w:szCs w:val="24"/>
              </w:rPr>
              <w:t xml:space="preserve"> </w:t>
            </w:r>
            <w:r w:rsidR="51E9AB2F" w:rsidRPr="00E57CE9">
              <w:rPr>
                <w:rFonts w:ascii="Arial" w:eastAsia="Tahoma" w:hAnsi="Arial" w:cs="Arial"/>
                <w:color w:val="000000" w:themeColor="text1"/>
                <w:sz w:val="24"/>
                <w:szCs w:val="24"/>
              </w:rPr>
              <w:t>This covers</w:t>
            </w:r>
            <w:r w:rsidR="2D034830" w:rsidRPr="00E57CE9">
              <w:rPr>
                <w:rFonts w:ascii="Arial" w:eastAsia="Tahoma" w:hAnsi="Arial" w:cs="Arial"/>
                <w:color w:val="000000" w:themeColor="text1"/>
                <w:sz w:val="24"/>
                <w:szCs w:val="24"/>
              </w:rPr>
              <w:t xml:space="preserve"> </w:t>
            </w:r>
            <w:r w:rsidR="016E297A" w:rsidRPr="00E57CE9">
              <w:rPr>
                <w:rFonts w:ascii="Arial" w:eastAsia="Tahoma" w:hAnsi="Arial" w:cs="Arial"/>
                <w:color w:val="242424"/>
                <w:sz w:val="24"/>
                <w:szCs w:val="24"/>
              </w:rPr>
              <w:t>service account</w:t>
            </w:r>
            <w:r w:rsidR="04A322C2" w:rsidRPr="00E57CE9">
              <w:rPr>
                <w:rFonts w:ascii="Arial" w:eastAsia="Tahoma" w:hAnsi="Arial" w:cs="Arial"/>
                <w:color w:val="242424"/>
                <w:sz w:val="24"/>
                <w:szCs w:val="24"/>
              </w:rPr>
              <w:t>s</w:t>
            </w:r>
            <w:r w:rsidR="016E297A" w:rsidRPr="00E57CE9">
              <w:rPr>
                <w:rFonts w:ascii="Arial" w:eastAsia="Tahoma" w:hAnsi="Arial" w:cs="Arial"/>
                <w:color w:val="242424"/>
                <w:sz w:val="24"/>
                <w:szCs w:val="24"/>
              </w:rPr>
              <w:t xml:space="preserve"> receiving unmetered service.</w:t>
            </w:r>
            <w:r w:rsidRPr="00E57CE9">
              <w:rPr>
                <w:rFonts w:ascii="Arial" w:eastAsia="Tahoma" w:hAnsi="Arial" w:cs="Arial"/>
                <w:color w:val="000000" w:themeColor="text1"/>
                <w:sz w:val="24"/>
                <w:szCs w:val="24"/>
              </w:rPr>
              <w:t xml:space="preserve"> </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2728DFE" w14:textId="588E0A0E" w:rsidR="2869E740" w:rsidRPr="00E57CE9" w:rsidRDefault="2869E740" w:rsidP="00BF2DF7">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ServiceAccountID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KwhNet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CustomerClassificationCode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RateScheduleCode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AlternativeProviderID</w:t>
            </w:r>
            <w:proofErr w:type="spellEnd"/>
          </w:p>
        </w:tc>
      </w:tr>
      <w:tr w:rsidR="2869E740" w:rsidRPr="00E57CE9" w14:paraId="5A6F62E8"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B81520D" w14:textId="4E2FC09E"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IntervalConsumptionElec</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8C25E55" w14:textId="0FDC1DA1" w:rsidR="1ED96FB5" w:rsidRPr="00E57CE9" w:rsidRDefault="1ED96FB5" w:rsidP="00BF2DF7">
            <w:pPr>
              <w:spacing w:line="276" w:lineRule="auto"/>
              <w:rPr>
                <w:rFonts w:ascii="Arial" w:eastAsia="Tahoma" w:hAnsi="Arial" w:cs="Arial"/>
                <w:sz w:val="24"/>
                <w:szCs w:val="24"/>
              </w:rPr>
            </w:pPr>
            <w:r w:rsidRPr="00E57CE9">
              <w:rPr>
                <w:rFonts w:ascii="Arial" w:eastAsia="Tahoma" w:hAnsi="Arial" w:cs="Arial"/>
                <w:color w:val="000000" w:themeColor="text1"/>
                <w:sz w:val="24"/>
                <w:szCs w:val="24"/>
              </w:rPr>
              <w:t xml:space="preserve">Contains interval-level electricity consumption for meters in </w:t>
            </w:r>
            <w:proofErr w:type="spellStart"/>
            <w:r w:rsidRPr="00E57CE9">
              <w:rPr>
                <w:rFonts w:ascii="Arial" w:eastAsia="Tahoma" w:hAnsi="Arial" w:cs="Arial"/>
                <w:color w:val="000000" w:themeColor="text1"/>
                <w:sz w:val="24"/>
                <w:szCs w:val="24"/>
              </w:rPr>
              <w:t>MeteredConsumptionElec</w:t>
            </w:r>
            <w:proofErr w:type="spellEnd"/>
            <w:r w:rsidRPr="00E57CE9">
              <w:rPr>
                <w:rFonts w:ascii="Arial" w:eastAsia="Tahoma" w:hAnsi="Arial" w:cs="Arial"/>
                <w:color w:val="000000" w:themeColor="text1"/>
                <w:sz w:val="24"/>
                <w:szCs w:val="24"/>
              </w:rPr>
              <w:t xml:space="preserve"> that also collect interval-level consumption data.</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28FEECD" w14:textId="653404E3" w:rsidR="2869E740" w:rsidRPr="00E57CE9" w:rsidRDefault="2869E740" w:rsidP="335F434A">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MeterID</w:t>
            </w:r>
            <w:proofErr w:type="spellEnd"/>
            <w:r w:rsidRPr="00E57CE9">
              <w:rPr>
                <w:rFonts w:ascii="Arial" w:eastAsia="Tahoma" w:hAnsi="Arial" w:cs="Arial"/>
                <w:i/>
                <w:iCs/>
                <w:sz w:val="24"/>
                <w:szCs w:val="24"/>
              </w:rPr>
              <w:t xml:space="preserve">, IntervalEndTime, </w:t>
            </w:r>
            <w:proofErr w:type="spellStart"/>
            <w:r w:rsidRPr="00E57CE9">
              <w:rPr>
                <w:rFonts w:ascii="Arial" w:eastAsia="Tahoma" w:hAnsi="Arial" w:cs="Arial"/>
                <w:i/>
                <w:iCs/>
                <w:sz w:val="24"/>
                <w:szCs w:val="24"/>
              </w:rPr>
              <w:t>IntervalLength</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w:t>
            </w:r>
            <w:proofErr w:type="spellEnd"/>
            <w:r w:rsidRPr="00E57CE9">
              <w:rPr>
                <w:rFonts w:ascii="Arial" w:eastAsia="Tahoma" w:hAnsi="Arial" w:cs="Arial"/>
                <w:i/>
                <w:iCs/>
                <w:sz w:val="24"/>
                <w:szCs w:val="24"/>
              </w:rPr>
              <w:t xml:space="preserve">, </w:t>
            </w:r>
            <w:proofErr w:type="spellStart"/>
            <w:r w:rsidR="34AF733E" w:rsidRPr="00E57CE9">
              <w:rPr>
                <w:rFonts w:ascii="Arial" w:eastAsia="Tahoma" w:hAnsi="Arial" w:cs="Arial"/>
                <w:i/>
                <w:iCs/>
                <w:sz w:val="24"/>
                <w:szCs w:val="24"/>
              </w:rPr>
              <w:t>kW</w:t>
            </w:r>
            <w:r w:rsidRPr="00E57CE9">
              <w:rPr>
                <w:rFonts w:ascii="Arial" w:eastAsia="Tahoma" w:hAnsi="Arial" w:cs="Arial"/>
                <w:i/>
                <w:iCs/>
                <w:sz w:val="24"/>
                <w:szCs w:val="24"/>
              </w:rPr>
              <w:t>hDelivered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IsKwhDeliveredEstimated</w:t>
            </w:r>
            <w:proofErr w:type="spellEnd"/>
            <w:r w:rsidRPr="00E57CE9">
              <w:rPr>
                <w:rFonts w:ascii="Arial" w:eastAsia="Tahoma" w:hAnsi="Arial" w:cs="Arial"/>
                <w:i/>
                <w:iCs/>
                <w:sz w:val="24"/>
                <w:szCs w:val="24"/>
              </w:rPr>
              <w:t xml:space="preserve">, KwhReturned, </w:t>
            </w:r>
            <w:proofErr w:type="spellStart"/>
            <w:r w:rsidRPr="00E57CE9">
              <w:rPr>
                <w:rFonts w:ascii="Arial" w:eastAsia="Tahoma" w:hAnsi="Arial" w:cs="Arial"/>
                <w:i/>
                <w:iCs/>
                <w:sz w:val="24"/>
                <w:szCs w:val="24"/>
              </w:rPr>
              <w:t>IsKwhReturnedEstimated</w:t>
            </w:r>
            <w:proofErr w:type="spellEnd"/>
          </w:p>
        </w:tc>
      </w:tr>
      <w:tr w:rsidR="2869E740" w:rsidRPr="00E57CE9" w14:paraId="3F457B36"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4A4727" w14:textId="33D40B21"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BillingChargesGas</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11ECAEE" w14:textId="7FFC2AE9" w:rsidR="2869E740" w:rsidRPr="00E57CE9" w:rsidRDefault="2869E740" w:rsidP="00BF2DF7">
            <w:pPr>
              <w:spacing w:line="276" w:lineRule="auto"/>
              <w:rPr>
                <w:rFonts w:ascii="Arial" w:eastAsia="Tahoma" w:hAnsi="Arial" w:cs="Arial"/>
                <w:sz w:val="24"/>
                <w:szCs w:val="24"/>
              </w:rPr>
            </w:pPr>
            <w:proofErr w:type="gramStart"/>
            <w:r w:rsidRPr="00E57CE9">
              <w:rPr>
                <w:rFonts w:ascii="Arial" w:eastAsia="Tahoma" w:hAnsi="Arial" w:cs="Arial"/>
                <w:sz w:val="24"/>
                <w:szCs w:val="24"/>
              </w:rPr>
              <w:t>Similar to</w:t>
            </w:r>
            <w:proofErr w:type="gramEnd"/>
            <w:r w:rsidRPr="00E57CE9">
              <w:rPr>
                <w:rFonts w:ascii="Arial" w:eastAsia="Tahoma" w:hAnsi="Arial" w:cs="Arial"/>
                <w:sz w:val="24"/>
                <w:szCs w:val="24"/>
              </w:rPr>
              <w:t xml:space="preserve"> </w:t>
            </w:r>
            <w:proofErr w:type="spellStart"/>
            <w:r w:rsidRPr="00E57CE9">
              <w:rPr>
                <w:rFonts w:ascii="Arial" w:eastAsia="Tahoma" w:hAnsi="Arial" w:cs="Arial"/>
                <w:sz w:val="24"/>
                <w:szCs w:val="24"/>
              </w:rPr>
              <w:t>BillingChargesElec</w:t>
            </w:r>
            <w:proofErr w:type="spellEnd"/>
            <w:r w:rsidRPr="00E57CE9">
              <w:rPr>
                <w:rFonts w:ascii="Arial" w:eastAsia="Tahoma" w:hAnsi="Arial" w:cs="Arial"/>
                <w:sz w:val="24"/>
                <w:szCs w:val="24"/>
              </w:rPr>
              <w:t xml:space="preserve"> but for natural gas billing charges.</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42094C5" w14:textId="01304FB9" w:rsidR="2869E740" w:rsidRPr="00E57CE9" w:rsidRDefault="2869E740" w:rsidP="00BF2DF7">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ServiceAccountID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lastRenderedPageBreak/>
              <w:t>TimeZoneEnd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BillCharge</w:t>
            </w:r>
            <w:proofErr w:type="spellEnd"/>
            <w:r w:rsidRPr="00E57CE9">
              <w:rPr>
                <w:rFonts w:ascii="Arial" w:eastAsia="Tahoma" w:hAnsi="Arial" w:cs="Arial"/>
                <w:i/>
                <w:iCs/>
                <w:sz w:val="24"/>
                <w:szCs w:val="24"/>
              </w:rPr>
              <w:t xml:space="preserve">, </w:t>
            </w:r>
            <w:proofErr w:type="spellStart"/>
            <w:r w:rsidR="04568BE7" w:rsidRPr="00E57CE9">
              <w:rPr>
                <w:rFonts w:ascii="Arial" w:eastAsia="Tahoma" w:hAnsi="Arial" w:cs="Arial"/>
                <w:i/>
                <w:iCs/>
                <w:sz w:val="24"/>
                <w:szCs w:val="24"/>
              </w:rPr>
              <w:t>InLevelizedProgram</w:t>
            </w:r>
            <w:proofErr w:type="spellEnd"/>
          </w:p>
        </w:tc>
      </w:tr>
      <w:tr w:rsidR="2869E740" w:rsidRPr="00E57CE9" w14:paraId="2909B598"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172619F" w14:textId="2D429212"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lastRenderedPageBreak/>
              <w:t>MeteredConsumptionGas</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37BC557" w14:textId="4D6893D8" w:rsidR="2869E740" w:rsidRPr="00E57CE9" w:rsidRDefault="2869E740" w:rsidP="00BF2DF7">
            <w:pPr>
              <w:spacing w:line="276" w:lineRule="auto"/>
              <w:rPr>
                <w:rFonts w:ascii="Arial" w:eastAsia="Tahoma" w:hAnsi="Arial" w:cs="Arial"/>
                <w:sz w:val="24"/>
                <w:szCs w:val="24"/>
              </w:rPr>
            </w:pPr>
            <w:r w:rsidRPr="00E57CE9">
              <w:rPr>
                <w:rFonts w:ascii="Arial" w:eastAsia="Tahoma" w:hAnsi="Arial" w:cs="Arial"/>
                <w:sz w:val="24"/>
                <w:szCs w:val="24"/>
              </w:rPr>
              <w:t xml:space="preserve">Includes metered natural gas consumption data, linked to service accounts </w:t>
            </w:r>
            <w:proofErr w:type="gramStart"/>
            <w:r w:rsidRPr="00E57CE9">
              <w:rPr>
                <w:rFonts w:ascii="Arial" w:eastAsia="Tahoma" w:hAnsi="Arial" w:cs="Arial"/>
                <w:sz w:val="24"/>
                <w:szCs w:val="24"/>
              </w:rPr>
              <w:t>and rate</w:t>
            </w:r>
            <w:proofErr w:type="gramEnd"/>
            <w:r w:rsidRPr="00E57CE9">
              <w:rPr>
                <w:rFonts w:ascii="Arial" w:eastAsia="Tahoma" w:hAnsi="Arial" w:cs="Arial"/>
                <w:sz w:val="24"/>
                <w:szCs w:val="24"/>
              </w:rPr>
              <w:t xml:space="preserve"> class information.</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4B37355" w14:textId="434E5131" w:rsidR="2869E740" w:rsidRPr="00E57CE9" w:rsidRDefault="2869E740" w:rsidP="335F434A">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MeterID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TimeZoneEnd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Therms</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IsThermsEstimated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CustomerClassificationCode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RateScheduleCode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AlternativeProviderID</w:t>
            </w:r>
            <w:proofErr w:type="spellEnd"/>
            <w:r w:rsidR="5469F44B" w:rsidRPr="00E57CE9">
              <w:rPr>
                <w:rFonts w:ascii="Arial" w:eastAsia="Tahoma" w:hAnsi="Arial" w:cs="Arial"/>
                <w:i/>
                <w:iCs/>
                <w:sz w:val="24"/>
                <w:szCs w:val="24"/>
              </w:rPr>
              <w:t xml:space="preserve"> </w:t>
            </w:r>
          </w:p>
        </w:tc>
      </w:tr>
      <w:tr w:rsidR="2869E740" w:rsidRPr="00E57CE9" w14:paraId="1C625715"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44F5934" w14:textId="2B09D9E8" w:rsidR="2869E740" w:rsidRPr="00E57CE9" w:rsidRDefault="2869E740" w:rsidP="00BF2DF7">
            <w:pPr>
              <w:spacing w:line="276" w:lineRule="auto"/>
              <w:rPr>
                <w:rFonts w:ascii="Arial" w:eastAsia="Tahoma" w:hAnsi="Arial" w:cs="Arial"/>
                <w:b/>
                <w:bCs/>
                <w:sz w:val="24"/>
                <w:szCs w:val="24"/>
              </w:rPr>
            </w:pPr>
            <w:r w:rsidRPr="00E57CE9">
              <w:rPr>
                <w:rFonts w:ascii="Arial" w:eastAsia="Tahoma" w:hAnsi="Arial" w:cs="Arial"/>
                <w:b/>
                <w:bCs/>
                <w:sz w:val="24"/>
                <w:szCs w:val="24"/>
              </w:rPr>
              <w:t>Premise</w:t>
            </w:r>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8CFC113" w14:textId="419890D0" w:rsidR="03630D76" w:rsidRPr="00E57CE9" w:rsidRDefault="03630D76" w:rsidP="00BF2DF7">
            <w:pPr>
              <w:spacing w:line="276" w:lineRule="auto"/>
              <w:rPr>
                <w:rFonts w:ascii="Arial" w:eastAsia="Tahoma" w:hAnsi="Arial" w:cs="Arial"/>
                <w:sz w:val="24"/>
                <w:szCs w:val="24"/>
              </w:rPr>
            </w:pPr>
            <w:r w:rsidRPr="00E57CE9">
              <w:rPr>
                <w:rFonts w:ascii="Arial" w:eastAsia="Tahoma" w:hAnsi="Arial" w:cs="Arial"/>
                <w:color w:val="000000" w:themeColor="text1"/>
                <w:sz w:val="24"/>
                <w:szCs w:val="24"/>
              </w:rPr>
              <w:t>Contains address data for each premise ID associated with utility service.</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B8C2B41" w14:textId="212F2AAB" w:rsidR="2869E740" w:rsidRPr="00E57CE9" w:rsidRDefault="2869E740" w:rsidP="335F434A">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PremiseID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FullAddress</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StreetNumber</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HouseFractionNumber</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StreetPrefix</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StreetName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StreetType</w:t>
            </w:r>
            <w:proofErr w:type="spellEnd"/>
            <w:r w:rsidRPr="00E57CE9">
              <w:rPr>
                <w:rFonts w:ascii="Arial" w:eastAsia="Tahoma" w:hAnsi="Arial" w:cs="Arial"/>
                <w:i/>
                <w:iCs/>
                <w:sz w:val="24"/>
                <w:szCs w:val="24"/>
              </w:rPr>
              <w:t xml:space="preserve">, City, County, </w:t>
            </w:r>
            <w:proofErr w:type="gramStart"/>
            <w:r w:rsidRPr="00E57CE9">
              <w:rPr>
                <w:rFonts w:ascii="Arial" w:eastAsia="Tahoma" w:hAnsi="Arial" w:cs="Arial"/>
                <w:i/>
                <w:iCs/>
                <w:sz w:val="24"/>
                <w:szCs w:val="24"/>
              </w:rPr>
              <w:t>State, Zip</w:t>
            </w:r>
            <w:proofErr w:type="gramEnd"/>
            <w:r w:rsidR="43B90D85" w:rsidRPr="00E57CE9">
              <w:rPr>
                <w:rFonts w:ascii="Arial" w:eastAsia="Tahoma" w:hAnsi="Arial" w:cs="Arial"/>
                <w:i/>
                <w:iCs/>
                <w:sz w:val="24"/>
                <w:szCs w:val="24"/>
              </w:rPr>
              <w:t xml:space="preserve">, Zip4 </w:t>
            </w:r>
          </w:p>
        </w:tc>
      </w:tr>
      <w:tr w:rsidR="2869E740" w:rsidRPr="00E57CE9" w14:paraId="26225127"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760C4CA" w14:textId="1C1D5042"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RateSchedule</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DE0D111" w14:textId="157D9D0F" w:rsidR="2869E740" w:rsidRPr="00E57CE9" w:rsidRDefault="2869E740" w:rsidP="00BF2DF7">
            <w:pPr>
              <w:spacing w:line="276" w:lineRule="auto"/>
              <w:rPr>
                <w:rFonts w:ascii="Arial" w:eastAsia="Tahoma" w:hAnsi="Arial" w:cs="Arial"/>
                <w:sz w:val="24"/>
                <w:szCs w:val="24"/>
              </w:rPr>
            </w:pPr>
            <w:r w:rsidRPr="00E57CE9">
              <w:rPr>
                <w:rFonts w:ascii="Arial" w:eastAsia="Tahoma" w:hAnsi="Arial" w:cs="Arial"/>
                <w:sz w:val="24"/>
                <w:szCs w:val="24"/>
              </w:rPr>
              <w:t>Serves as a reference table for tariff names and descriptions linked to utility rate schedules.</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56F022F" w14:textId="2FAB08F5" w:rsidR="2869E740" w:rsidRPr="00E57CE9" w:rsidRDefault="2869E740" w:rsidP="00BF2DF7">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RateScheduleCode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RateScheduleName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RateScheduleDesc</w:t>
            </w:r>
            <w:proofErr w:type="spellEnd"/>
          </w:p>
        </w:tc>
      </w:tr>
      <w:tr w:rsidR="2869E740" w:rsidRPr="00E57CE9" w14:paraId="0A0F4C61"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93586E4" w14:textId="63E6B6FF"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AlternativeProvider</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30AD504" w14:textId="75B299D2" w:rsidR="3A3A2F90" w:rsidRPr="00E57CE9" w:rsidRDefault="3A3A2F90" w:rsidP="00BF2DF7">
            <w:pPr>
              <w:spacing w:line="276" w:lineRule="auto"/>
              <w:rPr>
                <w:rFonts w:ascii="Arial" w:eastAsia="Tahoma" w:hAnsi="Arial" w:cs="Arial"/>
                <w:sz w:val="24"/>
                <w:szCs w:val="24"/>
              </w:rPr>
            </w:pPr>
            <w:r w:rsidRPr="00E57CE9">
              <w:rPr>
                <w:rFonts w:ascii="Arial" w:eastAsia="Tahoma" w:hAnsi="Arial" w:cs="Arial"/>
                <w:color w:val="000000" w:themeColor="text1"/>
                <w:sz w:val="24"/>
                <w:szCs w:val="24"/>
              </w:rPr>
              <w:t>A lookup table for alternative providers, which are defined as 3rd party load serving entities providing energy service within a utility's service territory. It contains the alternative provider's name and category.</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F33490A" w14:textId="24E0951F" w:rsidR="2869E740" w:rsidRPr="00E57CE9" w:rsidRDefault="2869E740" w:rsidP="00BF2DF7">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AlternativeProviderID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AlternativeProviderCategory</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AlternativeProviderName</w:t>
            </w:r>
            <w:proofErr w:type="spellEnd"/>
          </w:p>
        </w:tc>
      </w:tr>
      <w:tr w:rsidR="2869E740" w:rsidRPr="00E57CE9" w14:paraId="338DE83F"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F236F3" w14:textId="20D6CF7F" w:rsidR="2869E740" w:rsidRPr="00E57CE9" w:rsidRDefault="2869E740" w:rsidP="00BF2DF7">
            <w:pPr>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t>IDRelations</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5D4C67C" w14:textId="09431049" w:rsidR="2869E740" w:rsidRPr="00E57CE9" w:rsidRDefault="64DE5290" w:rsidP="00BF2DF7">
            <w:pPr>
              <w:spacing w:line="276" w:lineRule="auto"/>
              <w:rPr>
                <w:rFonts w:ascii="Arial" w:eastAsia="Aptos Narrow" w:hAnsi="Arial" w:cs="Arial"/>
                <w:color w:val="242424"/>
                <w:sz w:val="24"/>
                <w:szCs w:val="24"/>
              </w:rPr>
            </w:pPr>
            <w:r w:rsidRPr="00E57CE9">
              <w:rPr>
                <w:rFonts w:ascii="Arial" w:eastAsia="Tahoma" w:hAnsi="Arial" w:cs="Arial"/>
                <w:color w:val="242424"/>
                <w:sz w:val="24"/>
                <w:szCs w:val="24"/>
              </w:rPr>
              <w:t>This is the primary table used to map between ID fields in other tables. It contains every unique relationship between two or more IDs that existed for records in any other table and the date that relationship came into existence.</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97B6264" w14:textId="2B97C4CA" w:rsidR="2869E740" w:rsidRPr="00E57CE9" w:rsidRDefault="2869E740" w:rsidP="00BF2DF7">
            <w:pPr>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RelationStartDate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RelationEndDate</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ServiceAccountID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PremiseID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ServicePointID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MeterID</w:t>
            </w:r>
            <w:proofErr w:type="spellEnd"/>
          </w:p>
        </w:tc>
      </w:tr>
      <w:tr w:rsidR="2869E740" w:rsidRPr="00E57CE9" w14:paraId="3402351B" w14:textId="77777777" w:rsidTr="335F434A">
        <w:trPr>
          <w:trHeight w:val="300"/>
        </w:trPr>
        <w:tc>
          <w:tcPr>
            <w:tcW w:w="1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D21FD32" w14:textId="5958579B" w:rsidR="2869E740" w:rsidRPr="00E57CE9" w:rsidRDefault="2869E740" w:rsidP="00A931F6">
            <w:pPr>
              <w:keepNext/>
              <w:spacing w:line="276" w:lineRule="auto"/>
              <w:rPr>
                <w:rFonts w:ascii="Arial" w:eastAsia="Tahoma" w:hAnsi="Arial" w:cs="Arial"/>
                <w:b/>
                <w:bCs/>
                <w:sz w:val="24"/>
                <w:szCs w:val="24"/>
              </w:rPr>
            </w:pPr>
            <w:proofErr w:type="spellStart"/>
            <w:r w:rsidRPr="00E57CE9">
              <w:rPr>
                <w:rFonts w:ascii="Arial" w:eastAsia="Tahoma" w:hAnsi="Arial" w:cs="Arial"/>
                <w:b/>
                <w:bCs/>
                <w:sz w:val="24"/>
                <w:szCs w:val="24"/>
              </w:rPr>
              <w:lastRenderedPageBreak/>
              <w:t>VirtualGenerationCredit</w:t>
            </w:r>
            <w:proofErr w:type="spellEnd"/>
          </w:p>
        </w:tc>
        <w:tc>
          <w:tcPr>
            <w:tcW w:w="37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F1874C9" w14:textId="439A5748" w:rsidR="2869E740" w:rsidRPr="00E57CE9" w:rsidRDefault="2869E740" w:rsidP="00A931F6">
            <w:pPr>
              <w:keepNext/>
              <w:spacing w:line="276" w:lineRule="auto"/>
              <w:rPr>
                <w:rFonts w:ascii="Arial" w:eastAsia="Tahoma" w:hAnsi="Arial" w:cs="Arial"/>
                <w:sz w:val="24"/>
                <w:szCs w:val="24"/>
              </w:rPr>
            </w:pPr>
            <w:r w:rsidRPr="00E57CE9">
              <w:rPr>
                <w:rFonts w:ascii="Arial" w:eastAsia="Tahoma" w:hAnsi="Arial" w:cs="Arial"/>
                <w:sz w:val="24"/>
                <w:szCs w:val="24"/>
              </w:rPr>
              <w:t>Contains records of virtual generation credits applied to customer consumption, including the source of the credit.</w:t>
            </w:r>
          </w:p>
        </w:tc>
        <w:tc>
          <w:tcPr>
            <w:tcW w:w="379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EC5ED9A" w14:textId="625FAC55" w:rsidR="2869E740" w:rsidRPr="00E57CE9" w:rsidRDefault="2869E740" w:rsidP="00A931F6">
            <w:pPr>
              <w:keepNext/>
              <w:spacing w:line="276" w:lineRule="auto"/>
              <w:rPr>
                <w:rFonts w:ascii="Arial" w:eastAsia="Tahoma" w:hAnsi="Arial" w:cs="Arial"/>
                <w:i/>
                <w:iCs/>
                <w:sz w:val="24"/>
                <w:szCs w:val="24"/>
              </w:rPr>
            </w:pPr>
            <w:proofErr w:type="spellStart"/>
            <w:r w:rsidRPr="00E57CE9">
              <w:rPr>
                <w:rFonts w:ascii="Arial" w:eastAsia="Tahoma" w:hAnsi="Arial" w:cs="Arial"/>
                <w:i/>
                <w:iCs/>
                <w:sz w:val="24"/>
                <w:szCs w:val="24"/>
              </w:rPr>
              <w:t>ReceivingServiceAccountID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ReceivingServicePointID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CreditingNEMGenGroupID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CreditingMeterID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PeriodStart</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PeriodEnd</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GenCreditKwh</w:t>
            </w:r>
            <w:proofErr w:type="spellEnd"/>
            <w:r w:rsidRPr="00E57CE9">
              <w:rPr>
                <w:rFonts w:ascii="Arial" w:eastAsia="Tahoma" w:hAnsi="Arial" w:cs="Arial"/>
                <w:i/>
                <w:iCs/>
                <w:sz w:val="24"/>
                <w:szCs w:val="24"/>
              </w:rPr>
              <w:t xml:space="preserve">, </w:t>
            </w:r>
            <w:proofErr w:type="spellStart"/>
            <w:r w:rsidRPr="00E57CE9">
              <w:rPr>
                <w:rFonts w:ascii="Arial" w:eastAsia="Tahoma" w:hAnsi="Arial" w:cs="Arial"/>
                <w:i/>
                <w:iCs/>
                <w:sz w:val="24"/>
                <w:szCs w:val="24"/>
              </w:rPr>
              <w:t>GenCreditPercent</w:t>
            </w:r>
            <w:proofErr w:type="spellEnd"/>
          </w:p>
        </w:tc>
      </w:tr>
    </w:tbl>
    <w:p w14:paraId="3B8B32DD" w14:textId="0D2E5B30" w:rsidR="1A26D8EB" w:rsidRPr="00E57CE9" w:rsidRDefault="1A26D8EB" w:rsidP="335F434A">
      <w:pPr>
        <w:spacing w:before="120" w:line="276" w:lineRule="auto"/>
        <w:rPr>
          <w:rFonts w:ascii="Arial" w:eastAsia="Tahoma" w:hAnsi="Arial" w:cs="Arial"/>
          <w:sz w:val="24"/>
          <w:szCs w:val="24"/>
        </w:rPr>
      </w:pPr>
    </w:p>
    <w:p w14:paraId="62ED6CD0" w14:textId="5FBEB012" w:rsidR="1A26D8EB" w:rsidRPr="00E57CE9" w:rsidRDefault="066FACEE" w:rsidP="335F434A">
      <w:pPr>
        <w:spacing w:before="120" w:line="276" w:lineRule="auto"/>
        <w:rPr>
          <w:rFonts w:ascii="Arial" w:eastAsia="Tahoma" w:hAnsi="Arial" w:cs="Arial"/>
          <w:sz w:val="24"/>
          <w:szCs w:val="24"/>
        </w:rPr>
      </w:pPr>
      <w:r w:rsidRPr="00E57CE9">
        <w:rPr>
          <w:rFonts w:ascii="Arial" w:eastAsia="Tahoma" w:hAnsi="Arial" w:cs="Arial"/>
          <w:b/>
          <w:bCs/>
          <w:sz w:val="24"/>
          <w:szCs w:val="24"/>
        </w:rPr>
        <w:t>Phase 3 Data Fields and Implementation Considerations</w:t>
      </w:r>
      <w:r w:rsidR="57829583" w:rsidRPr="00E57CE9">
        <w:rPr>
          <w:rFonts w:ascii="Arial" w:eastAsia="Tahoma" w:hAnsi="Arial" w:cs="Arial"/>
          <w:b/>
          <w:bCs/>
          <w:sz w:val="24"/>
          <w:szCs w:val="24"/>
        </w:rPr>
        <w:t>:</w:t>
      </w:r>
      <w:r w:rsidR="57829583" w:rsidRPr="00E57CE9">
        <w:rPr>
          <w:rFonts w:ascii="Arial" w:eastAsia="Tahoma" w:hAnsi="Arial" w:cs="Arial"/>
          <w:sz w:val="24"/>
          <w:szCs w:val="24"/>
        </w:rPr>
        <w:t xml:space="preserve"> Phase 3 introduces additional data fields, including </w:t>
      </w:r>
      <w:proofErr w:type="spellStart"/>
      <w:r w:rsidR="57829583" w:rsidRPr="00E57CE9">
        <w:rPr>
          <w:rFonts w:ascii="Arial" w:eastAsia="Tahoma" w:hAnsi="Arial" w:cs="Arial"/>
          <w:sz w:val="24"/>
          <w:szCs w:val="24"/>
        </w:rPr>
        <w:t>CustomerID</w:t>
      </w:r>
      <w:proofErr w:type="spellEnd"/>
      <w:r w:rsidR="57829583" w:rsidRPr="00E57CE9">
        <w:rPr>
          <w:rFonts w:ascii="Arial" w:eastAsia="Tahoma" w:hAnsi="Arial" w:cs="Arial"/>
          <w:sz w:val="24"/>
          <w:szCs w:val="24"/>
        </w:rPr>
        <w:t xml:space="preserve">, latitude and longitude, </w:t>
      </w:r>
      <w:proofErr w:type="spellStart"/>
      <w:r w:rsidR="57829583" w:rsidRPr="00E57CE9">
        <w:rPr>
          <w:rFonts w:ascii="Arial" w:eastAsia="Tahoma" w:hAnsi="Arial" w:cs="Arial"/>
          <w:sz w:val="24"/>
          <w:szCs w:val="24"/>
        </w:rPr>
        <w:t>CustomerGroup</w:t>
      </w:r>
      <w:proofErr w:type="spellEnd"/>
      <w:r w:rsidR="57829583" w:rsidRPr="00E57CE9">
        <w:rPr>
          <w:rFonts w:ascii="Arial" w:eastAsia="Tahoma" w:hAnsi="Arial" w:cs="Arial"/>
          <w:sz w:val="24"/>
          <w:szCs w:val="24"/>
        </w:rPr>
        <w:t xml:space="preserve">, Rate Identification Number, and Baseline Territories. These fields </w:t>
      </w:r>
      <w:r w:rsidR="00A35E3F" w:rsidRPr="00E57CE9">
        <w:rPr>
          <w:rFonts w:ascii="Arial" w:eastAsia="Tahoma" w:hAnsi="Arial" w:cs="Arial"/>
          <w:sz w:val="24"/>
          <w:szCs w:val="24"/>
        </w:rPr>
        <w:t>may</w:t>
      </w:r>
      <w:r w:rsidR="00646E1C" w:rsidRPr="00E57CE9">
        <w:rPr>
          <w:rFonts w:ascii="Arial" w:eastAsia="Tahoma" w:hAnsi="Arial" w:cs="Arial"/>
          <w:sz w:val="24"/>
          <w:szCs w:val="24"/>
        </w:rPr>
        <w:t xml:space="preserve"> </w:t>
      </w:r>
      <w:r w:rsidR="57829583" w:rsidRPr="00E57CE9">
        <w:rPr>
          <w:rFonts w:ascii="Arial" w:eastAsia="Tahoma" w:hAnsi="Arial" w:cs="Arial"/>
          <w:sz w:val="24"/>
          <w:szCs w:val="24"/>
        </w:rPr>
        <w:t>support improved data organization, customer classification, geographic analysis, rate-related analysis, and program targeting; however, their specific use will depend on final field definitions, utility implementation, and data completeness. Detailed descriptions and example fields for these new data elements are still in development</w:t>
      </w:r>
      <w:r w:rsidR="11A269E8" w:rsidRPr="00E57CE9">
        <w:rPr>
          <w:rFonts w:ascii="Arial" w:eastAsia="Tahoma" w:hAnsi="Arial" w:cs="Arial"/>
          <w:sz w:val="24"/>
          <w:szCs w:val="24"/>
        </w:rPr>
        <w:t>.</w:t>
      </w:r>
      <w:r w:rsidR="57829583" w:rsidRPr="00E57CE9">
        <w:rPr>
          <w:rFonts w:ascii="Arial" w:eastAsia="Tahoma" w:hAnsi="Arial" w:cs="Arial"/>
          <w:sz w:val="24"/>
          <w:szCs w:val="24"/>
        </w:rPr>
        <w:t xml:space="preserve"> The SWI should verify implementation status, field availability, and data quality before relying on these fields for program workflows.</w:t>
      </w:r>
    </w:p>
    <w:p w14:paraId="4BA832A4" w14:textId="5AE31620" w:rsidR="006A5542" w:rsidRPr="00E57CE9" w:rsidRDefault="58A69724" w:rsidP="00BF2DF7">
      <w:pPr>
        <w:spacing w:line="276" w:lineRule="auto"/>
        <w:rPr>
          <w:rFonts w:ascii="Arial" w:eastAsia="Tahoma" w:hAnsi="Arial" w:cs="Arial"/>
          <w:sz w:val="24"/>
          <w:szCs w:val="24"/>
        </w:rPr>
      </w:pPr>
      <w:r w:rsidRPr="00E57CE9">
        <w:rPr>
          <w:rFonts w:ascii="Arial" w:eastAsia="Tahoma" w:hAnsi="Arial" w:cs="Arial"/>
          <w:b/>
          <w:bCs/>
          <w:sz w:val="24"/>
          <w:szCs w:val="24"/>
        </w:rPr>
        <w:t>Data sync</w:t>
      </w:r>
      <w:r w:rsidR="4514CAB3" w:rsidRPr="00E57CE9">
        <w:rPr>
          <w:rFonts w:ascii="Arial" w:eastAsia="Tahoma" w:hAnsi="Arial" w:cs="Arial"/>
          <w:b/>
          <w:bCs/>
          <w:sz w:val="24"/>
          <w:szCs w:val="24"/>
        </w:rPr>
        <w:t>hronization</w:t>
      </w:r>
      <w:r w:rsidR="00BA2F44" w:rsidRPr="00E57CE9">
        <w:rPr>
          <w:rFonts w:ascii="Arial" w:eastAsia="Tahoma" w:hAnsi="Arial" w:cs="Arial"/>
          <w:b/>
          <w:bCs/>
          <w:sz w:val="24"/>
          <w:szCs w:val="24"/>
        </w:rPr>
        <w:t xml:space="preserve"> of gas and electric accounts</w:t>
      </w:r>
      <w:r w:rsidR="4514CAB3" w:rsidRPr="00E57CE9">
        <w:rPr>
          <w:rFonts w:ascii="Arial" w:eastAsia="Tahoma" w:hAnsi="Arial" w:cs="Arial"/>
          <w:b/>
          <w:bCs/>
          <w:sz w:val="24"/>
          <w:szCs w:val="24"/>
        </w:rPr>
        <w:t>:</w:t>
      </w:r>
      <w:r w:rsidR="4514CAB3" w:rsidRPr="00E57CE9">
        <w:rPr>
          <w:rFonts w:ascii="Arial" w:eastAsia="Tahoma" w:hAnsi="Arial" w:cs="Arial"/>
          <w:sz w:val="24"/>
          <w:szCs w:val="24"/>
        </w:rPr>
        <w:t xml:space="preserve"> </w:t>
      </w:r>
      <w:r w:rsidR="6AE92542" w:rsidRPr="00E57CE9">
        <w:rPr>
          <w:rFonts w:ascii="Arial" w:eastAsia="Tahoma" w:hAnsi="Arial" w:cs="Arial"/>
          <w:sz w:val="24"/>
          <w:szCs w:val="24"/>
        </w:rPr>
        <w:t xml:space="preserve">While </w:t>
      </w:r>
      <w:r w:rsidR="4AD70C5C" w:rsidRPr="00E57CE9">
        <w:rPr>
          <w:rFonts w:ascii="Arial" w:eastAsia="Tahoma" w:hAnsi="Arial" w:cs="Arial"/>
          <w:sz w:val="24"/>
          <w:szCs w:val="24"/>
        </w:rPr>
        <w:t xml:space="preserve">some of </w:t>
      </w:r>
      <w:r w:rsidR="6AE92542" w:rsidRPr="00E57CE9">
        <w:rPr>
          <w:rFonts w:ascii="Arial" w:eastAsia="Tahoma" w:hAnsi="Arial" w:cs="Arial"/>
          <w:sz w:val="24"/>
          <w:szCs w:val="24"/>
        </w:rPr>
        <w:t>the regulatory updates</w:t>
      </w:r>
      <w:r w:rsidR="44759FBC" w:rsidRPr="00E57CE9">
        <w:rPr>
          <w:rFonts w:ascii="Arial" w:eastAsia="Tahoma" w:hAnsi="Arial" w:cs="Arial"/>
          <w:sz w:val="24"/>
          <w:szCs w:val="24"/>
        </w:rPr>
        <w:t xml:space="preserve"> are</w:t>
      </w:r>
      <w:r w:rsidR="6AE92542" w:rsidRPr="00E57CE9">
        <w:rPr>
          <w:rFonts w:ascii="Arial" w:eastAsia="Tahoma" w:hAnsi="Arial" w:cs="Arial"/>
          <w:sz w:val="24"/>
          <w:szCs w:val="24"/>
        </w:rPr>
        <w:t xml:space="preserve"> expected to improve data synchronization, </w:t>
      </w:r>
      <w:r w:rsidR="014F1CB7" w:rsidRPr="00E57CE9">
        <w:rPr>
          <w:rFonts w:ascii="Arial" w:eastAsia="Tahoma" w:hAnsi="Arial" w:cs="Arial"/>
          <w:sz w:val="24"/>
          <w:szCs w:val="24"/>
        </w:rPr>
        <w:t>t</w:t>
      </w:r>
      <w:r w:rsidR="16111B97" w:rsidRPr="00E57CE9">
        <w:rPr>
          <w:rFonts w:ascii="Arial" w:eastAsia="Tahoma" w:hAnsi="Arial" w:cs="Arial"/>
          <w:sz w:val="24"/>
          <w:szCs w:val="24"/>
        </w:rPr>
        <w:t xml:space="preserve">he SWI </w:t>
      </w:r>
      <w:r w:rsidR="0978550E" w:rsidRPr="00E57CE9">
        <w:rPr>
          <w:rFonts w:ascii="Arial" w:eastAsia="Tahoma" w:hAnsi="Arial" w:cs="Arial"/>
          <w:sz w:val="24"/>
          <w:szCs w:val="24"/>
        </w:rPr>
        <w:t xml:space="preserve">is still </w:t>
      </w:r>
      <w:r w:rsidR="43085501" w:rsidRPr="00E57CE9">
        <w:rPr>
          <w:rFonts w:ascii="Arial" w:eastAsia="Tahoma" w:hAnsi="Arial" w:cs="Arial"/>
          <w:sz w:val="24"/>
          <w:szCs w:val="24"/>
        </w:rPr>
        <w:t>required</w:t>
      </w:r>
      <w:r w:rsidR="2F261215" w:rsidRPr="00E57CE9">
        <w:rPr>
          <w:rFonts w:ascii="Arial" w:eastAsia="Tahoma" w:hAnsi="Arial" w:cs="Arial"/>
          <w:sz w:val="24"/>
          <w:szCs w:val="24"/>
        </w:rPr>
        <w:t xml:space="preserve"> </w:t>
      </w:r>
      <w:r w:rsidR="16111B97" w:rsidRPr="00E57CE9">
        <w:rPr>
          <w:rFonts w:ascii="Arial" w:eastAsia="Tahoma" w:hAnsi="Arial" w:cs="Arial"/>
          <w:sz w:val="24"/>
          <w:szCs w:val="24"/>
        </w:rPr>
        <w:t>to</w:t>
      </w:r>
      <w:r w:rsidR="60E40C46" w:rsidRPr="00E57CE9">
        <w:rPr>
          <w:rFonts w:ascii="Arial" w:eastAsia="Tahoma" w:hAnsi="Arial" w:cs="Arial"/>
          <w:sz w:val="24"/>
          <w:szCs w:val="24"/>
        </w:rPr>
        <w:t xml:space="preserve"> synchronize electric and gas consumption data</w:t>
      </w:r>
      <w:r w:rsidR="16111B97" w:rsidRPr="00E57CE9">
        <w:rPr>
          <w:rFonts w:ascii="Arial" w:eastAsia="Tahoma" w:hAnsi="Arial" w:cs="Arial"/>
          <w:sz w:val="24"/>
          <w:szCs w:val="24"/>
        </w:rPr>
        <w:t xml:space="preserve"> </w:t>
      </w:r>
      <w:r w:rsidR="5891EB31" w:rsidRPr="00E57CE9">
        <w:rPr>
          <w:rFonts w:ascii="Arial" w:eastAsia="Tahoma" w:hAnsi="Arial" w:cs="Arial"/>
          <w:sz w:val="24"/>
          <w:szCs w:val="24"/>
        </w:rPr>
        <w:t xml:space="preserve">to </w:t>
      </w:r>
      <w:r w:rsidR="3B853FD0" w:rsidRPr="00E57CE9">
        <w:rPr>
          <w:rFonts w:ascii="Arial" w:eastAsia="Tahoma" w:hAnsi="Arial" w:cs="Arial"/>
          <w:sz w:val="24"/>
          <w:szCs w:val="24"/>
        </w:rPr>
        <w:t xml:space="preserve">conduct household-level </w:t>
      </w:r>
      <w:r w:rsidR="16111B97" w:rsidRPr="00E57CE9">
        <w:rPr>
          <w:rFonts w:ascii="Arial" w:eastAsia="Tahoma" w:hAnsi="Arial" w:cs="Arial"/>
          <w:sz w:val="24"/>
          <w:szCs w:val="24"/>
        </w:rPr>
        <w:t xml:space="preserve">M&amp;V. </w:t>
      </w:r>
      <w:r w:rsidR="5197FAD6" w:rsidRPr="00E57CE9">
        <w:rPr>
          <w:rFonts w:ascii="Arial" w:eastAsia="Tahoma" w:hAnsi="Arial" w:cs="Arial"/>
          <w:sz w:val="24"/>
          <w:szCs w:val="24"/>
        </w:rPr>
        <w:t>A k</w:t>
      </w:r>
      <w:r w:rsidR="16111B97" w:rsidRPr="00E57CE9">
        <w:rPr>
          <w:rFonts w:ascii="Arial" w:eastAsia="Tahoma" w:hAnsi="Arial" w:cs="Arial"/>
          <w:sz w:val="24"/>
          <w:szCs w:val="24"/>
        </w:rPr>
        <w:t>ey consideration in this process include</w:t>
      </w:r>
      <w:r w:rsidR="5197FAD6" w:rsidRPr="00E57CE9">
        <w:rPr>
          <w:rFonts w:ascii="Arial" w:eastAsia="Tahoma" w:hAnsi="Arial" w:cs="Arial"/>
          <w:sz w:val="24"/>
          <w:szCs w:val="24"/>
        </w:rPr>
        <w:t>s</w:t>
      </w:r>
      <w:r w:rsidR="16111B97" w:rsidRPr="00E57CE9">
        <w:rPr>
          <w:rFonts w:ascii="Arial" w:eastAsia="Tahoma" w:hAnsi="Arial" w:cs="Arial"/>
          <w:sz w:val="24"/>
          <w:szCs w:val="24"/>
        </w:rPr>
        <w:t xml:space="preserve"> managing multi-utility accounts, as some customers have separate providers for electricity and gas</w:t>
      </w:r>
      <w:r w:rsidR="2975CDED" w:rsidRPr="00E57CE9">
        <w:rPr>
          <w:rFonts w:ascii="Arial" w:eastAsia="Tahoma" w:hAnsi="Arial" w:cs="Arial"/>
          <w:sz w:val="24"/>
          <w:szCs w:val="24"/>
        </w:rPr>
        <w:t>. T</w:t>
      </w:r>
      <w:r w:rsidR="16111B97" w:rsidRPr="00E57CE9">
        <w:rPr>
          <w:rFonts w:ascii="Arial" w:eastAsia="Tahoma" w:hAnsi="Arial" w:cs="Arial"/>
          <w:sz w:val="24"/>
          <w:szCs w:val="24"/>
        </w:rPr>
        <w:t xml:space="preserve">he SWI </w:t>
      </w:r>
      <w:r w:rsidR="2975CDED" w:rsidRPr="00E57CE9">
        <w:rPr>
          <w:rFonts w:ascii="Arial" w:eastAsia="Tahoma" w:hAnsi="Arial" w:cs="Arial"/>
          <w:sz w:val="24"/>
          <w:szCs w:val="24"/>
        </w:rPr>
        <w:t>may need to</w:t>
      </w:r>
      <w:r w:rsidR="16111B97" w:rsidRPr="00E57CE9">
        <w:rPr>
          <w:rFonts w:ascii="Arial" w:eastAsia="Tahoma" w:hAnsi="Arial" w:cs="Arial"/>
          <w:sz w:val="24"/>
          <w:szCs w:val="24"/>
        </w:rPr>
        <w:t xml:space="preserve"> reconcile and manage multiple datasets for each customer. Additionally, </w:t>
      </w:r>
      <w:proofErr w:type="gramStart"/>
      <w:r w:rsidR="2975CDED" w:rsidRPr="00E57CE9">
        <w:rPr>
          <w:rFonts w:ascii="Arial" w:eastAsia="Tahoma" w:hAnsi="Arial" w:cs="Arial"/>
          <w:sz w:val="24"/>
          <w:szCs w:val="24"/>
        </w:rPr>
        <w:t>t</w:t>
      </w:r>
      <w:r w:rsidR="16111B97" w:rsidRPr="00E57CE9">
        <w:rPr>
          <w:rFonts w:ascii="Arial" w:eastAsia="Tahoma" w:hAnsi="Arial" w:cs="Arial"/>
          <w:sz w:val="24"/>
          <w:szCs w:val="24"/>
        </w:rPr>
        <w:t>he SWI</w:t>
      </w:r>
      <w:proofErr w:type="gramEnd"/>
      <w:r w:rsidR="16111B97" w:rsidRPr="00E57CE9">
        <w:rPr>
          <w:rFonts w:ascii="Arial" w:eastAsia="Tahoma" w:hAnsi="Arial" w:cs="Arial"/>
          <w:sz w:val="24"/>
          <w:szCs w:val="24"/>
        </w:rPr>
        <w:t xml:space="preserve"> will need to align consumption records from </w:t>
      </w:r>
      <w:r w:rsidR="00FB39FF" w:rsidRPr="00E57CE9">
        <w:rPr>
          <w:rFonts w:ascii="Arial" w:eastAsia="Tahoma" w:hAnsi="Arial" w:cs="Arial"/>
          <w:sz w:val="24"/>
          <w:szCs w:val="24"/>
        </w:rPr>
        <w:t>all energy</w:t>
      </w:r>
      <w:r w:rsidR="16111B97" w:rsidRPr="00E57CE9">
        <w:rPr>
          <w:rFonts w:ascii="Arial" w:eastAsia="Tahoma" w:hAnsi="Arial" w:cs="Arial"/>
          <w:sz w:val="24"/>
          <w:szCs w:val="24"/>
        </w:rPr>
        <w:t xml:space="preserve"> utilities to accurately assess pre- and post-project savings. </w:t>
      </w:r>
    </w:p>
    <w:p w14:paraId="182C8E11" w14:textId="49060A3B" w:rsidR="008F6229" w:rsidRPr="00E57CE9" w:rsidRDefault="008F6229" w:rsidP="00BF2DF7">
      <w:pPr>
        <w:spacing w:line="276" w:lineRule="auto"/>
        <w:rPr>
          <w:rFonts w:ascii="Arial" w:eastAsia="Tahoma" w:hAnsi="Arial" w:cs="Arial"/>
          <w:sz w:val="24"/>
          <w:szCs w:val="24"/>
        </w:rPr>
      </w:pPr>
    </w:p>
    <w:sectPr w:rsidR="008F6229" w:rsidRPr="00E57CE9">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FF5" w14:textId="77777777" w:rsidR="0077726B" w:rsidRDefault="0077726B">
      <w:pPr>
        <w:spacing w:after="0" w:line="240" w:lineRule="auto"/>
      </w:pPr>
      <w:r>
        <w:separator/>
      </w:r>
    </w:p>
  </w:endnote>
  <w:endnote w:type="continuationSeparator" w:id="0">
    <w:p w14:paraId="3582D82D" w14:textId="77777777" w:rsidR="0077726B" w:rsidRDefault="00777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96D3D" w14:textId="77777777" w:rsidR="00163AB6" w:rsidRDefault="00163AB6" w:rsidP="00163AB6">
    <w:pPr>
      <w:pStyle w:val="Footer"/>
      <w:tabs>
        <w:tab w:val="center" w:pos="5040"/>
        <w:tab w:val="right" w:pos="9900"/>
      </w:tabs>
      <w:jc w:val="right"/>
      <w:rPr>
        <w:rFonts w:ascii="Arial" w:hAnsi="Arial" w:cs="Arial"/>
        <w:sz w:val="20"/>
        <w:szCs w:val="20"/>
      </w:rPr>
    </w:pPr>
  </w:p>
  <w:p w14:paraId="5321D0BF" w14:textId="6D84D3AC" w:rsidR="00163AB6" w:rsidRPr="00D63E3C" w:rsidRDefault="00163AB6" w:rsidP="00163AB6">
    <w:pPr>
      <w:pStyle w:val="Footer"/>
      <w:tabs>
        <w:tab w:val="center" w:pos="5040"/>
        <w:tab w:val="right" w:pos="9900"/>
      </w:tabs>
      <w:jc w:val="right"/>
      <w:rPr>
        <w:rFonts w:ascii="Arial" w:hAnsi="Arial" w:cs="Arial"/>
        <w:sz w:val="20"/>
        <w:szCs w:val="20"/>
      </w:rPr>
    </w:pPr>
    <w:r w:rsidRPr="00D63E3C">
      <w:rPr>
        <w:rFonts w:ascii="Arial" w:hAnsi="Arial" w:cs="Arial"/>
        <w:sz w:val="20"/>
        <w:szCs w:val="20"/>
      </w:rPr>
      <w:t>October 2026</w:t>
    </w:r>
    <w:r w:rsidRPr="00D63E3C">
      <w:rPr>
        <w:rFonts w:ascii="Arial" w:hAnsi="Arial" w:cs="Arial"/>
        <w:sz w:val="20"/>
        <w:szCs w:val="20"/>
      </w:rPr>
      <w:tab/>
      <w:t xml:space="preserve">Page </w:t>
    </w:r>
    <w:r w:rsidRPr="00D63E3C">
      <w:rPr>
        <w:rStyle w:val="PageNumber"/>
        <w:rFonts w:ascii="Arial" w:hAnsi="Arial" w:cs="Arial"/>
        <w:sz w:val="20"/>
        <w:szCs w:val="20"/>
      </w:rPr>
      <w:fldChar w:fldCharType="begin"/>
    </w:r>
    <w:r w:rsidRPr="00D63E3C">
      <w:rPr>
        <w:rStyle w:val="PageNumber"/>
        <w:rFonts w:ascii="Arial" w:hAnsi="Arial" w:cs="Arial"/>
        <w:sz w:val="20"/>
        <w:szCs w:val="20"/>
      </w:rPr>
      <w:instrText xml:space="preserve"> PAGE </w:instrText>
    </w:r>
    <w:r w:rsidRPr="00D63E3C">
      <w:rPr>
        <w:rStyle w:val="PageNumber"/>
        <w:rFonts w:ascii="Arial" w:hAnsi="Arial" w:cs="Arial"/>
        <w:sz w:val="20"/>
        <w:szCs w:val="20"/>
      </w:rPr>
      <w:fldChar w:fldCharType="separate"/>
    </w:r>
    <w:r>
      <w:rPr>
        <w:rStyle w:val="PageNumber"/>
        <w:rFonts w:ascii="Arial" w:hAnsi="Arial" w:cs="Arial"/>
        <w:sz w:val="20"/>
        <w:szCs w:val="20"/>
      </w:rPr>
      <w:t>1</w:t>
    </w:r>
    <w:r w:rsidRPr="00D63E3C">
      <w:rPr>
        <w:rStyle w:val="PageNumber"/>
        <w:rFonts w:ascii="Arial" w:hAnsi="Arial" w:cs="Arial"/>
        <w:sz w:val="20"/>
        <w:szCs w:val="20"/>
      </w:rPr>
      <w:fldChar w:fldCharType="end"/>
    </w:r>
    <w:r w:rsidRPr="00D63E3C">
      <w:rPr>
        <w:rStyle w:val="PageNumber"/>
        <w:rFonts w:ascii="Arial" w:hAnsi="Arial" w:cs="Arial"/>
        <w:sz w:val="20"/>
        <w:szCs w:val="20"/>
      </w:rPr>
      <w:t xml:space="preserve"> of </w:t>
    </w:r>
    <w:r w:rsidRPr="00D63E3C">
      <w:rPr>
        <w:rStyle w:val="PageNumber"/>
        <w:rFonts w:ascii="Arial" w:hAnsi="Arial" w:cs="Arial"/>
        <w:sz w:val="20"/>
        <w:szCs w:val="20"/>
      </w:rPr>
      <w:fldChar w:fldCharType="begin"/>
    </w:r>
    <w:r w:rsidRPr="00D63E3C">
      <w:rPr>
        <w:rStyle w:val="PageNumber"/>
        <w:rFonts w:ascii="Arial" w:hAnsi="Arial" w:cs="Arial"/>
        <w:sz w:val="20"/>
        <w:szCs w:val="20"/>
      </w:rPr>
      <w:instrText xml:space="preserve"> NUMPAGES </w:instrText>
    </w:r>
    <w:r w:rsidRPr="00D63E3C">
      <w:rPr>
        <w:rStyle w:val="PageNumber"/>
        <w:rFonts w:ascii="Arial" w:hAnsi="Arial" w:cs="Arial"/>
        <w:sz w:val="20"/>
        <w:szCs w:val="20"/>
      </w:rPr>
      <w:fldChar w:fldCharType="separate"/>
    </w:r>
    <w:r>
      <w:rPr>
        <w:rStyle w:val="PageNumber"/>
        <w:rFonts w:ascii="Arial" w:hAnsi="Arial" w:cs="Arial"/>
        <w:sz w:val="20"/>
        <w:szCs w:val="20"/>
      </w:rPr>
      <w:t>3</w:t>
    </w:r>
    <w:r w:rsidRPr="00D63E3C">
      <w:rPr>
        <w:rStyle w:val="PageNumber"/>
        <w:rFonts w:ascii="Arial" w:hAnsi="Arial" w:cs="Arial"/>
        <w:sz w:val="20"/>
        <w:szCs w:val="20"/>
      </w:rPr>
      <w:fldChar w:fldCharType="end"/>
    </w:r>
    <w:r w:rsidRPr="00D63E3C">
      <w:rPr>
        <w:rFonts w:ascii="Arial" w:hAnsi="Arial" w:cs="Arial"/>
        <w:sz w:val="20"/>
        <w:szCs w:val="20"/>
      </w:rPr>
      <w:tab/>
      <w:t>RFP-26-501</w:t>
    </w:r>
  </w:p>
  <w:p w14:paraId="402236C7" w14:textId="3AA008D9" w:rsidR="008720BC" w:rsidRPr="00163AB6" w:rsidRDefault="00163AB6" w:rsidP="00163AB6">
    <w:pPr>
      <w:tabs>
        <w:tab w:val="left" w:pos="0"/>
        <w:tab w:val="center" w:pos="4680"/>
        <w:tab w:val="left" w:pos="9360"/>
      </w:tabs>
      <w:jc w:val="right"/>
    </w:pPr>
    <w:r>
      <w:rPr>
        <w:rFonts w:ascii="Arial" w:hAnsi="Arial" w:cs="Arial"/>
        <w:sz w:val="20"/>
        <w:szCs w:val="20"/>
      </w:rPr>
      <w:t xml:space="preserve">                                                    </w:t>
    </w:r>
    <w:r w:rsidRPr="00D63E3C">
      <w:rPr>
        <w:rFonts w:ascii="Arial" w:hAnsi="Arial" w:cs="Arial"/>
        <w:sz w:val="20"/>
        <w:szCs w:val="20"/>
      </w:rPr>
      <w:t xml:space="preserve">Attachment </w:t>
    </w:r>
    <w:r>
      <w:rPr>
        <w:rFonts w:ascii="Arial" w:hAnsi="Arial" w:cs="Arial"/>
        <w:sz w:val="20"/>
        <w:szCs w:val="20"/>
      </w:rPr>
      <w:t xml:space="preserve">20    </w:t>
    </w:r>
    <w:r w:rsidR="00A63588">
      <w:rPr>
        <w:rFonts w:ascii="Arial" w:hAnsi="Arial" w:cs="Arial"/>
        <w:sz w:val="20"/>
        <w:szCs w:val="20"/>
      </w:rPr>
      <w:t xml:space="preserve">  </w:t>
    </w:r>
    <w:r>
      <w:rPr>
        <w:rFonts w:ascii="Arial" w:hAnsi="Arial" w:cs="Arial"/>
        <w:sz w:val="20"/>
        <w:szCs w:val="20"/>
      </w:rPr>
      <w:t xml:space="preserve">          </w:t>
    </w:r>
    <w:r w:rsidRPr="00D63E3C">
      <w:rPr>
        <w:rFonts w:ascii="Arial" w:hAnsi="Arial" w:cs="Arial"/>
        <w:sz w:val="20"/>
        <w:szCs w:val="20"/>
      </w:rPr>
      <w:t xml:space="preserve">         HOMES Pay for Performance                            Statewide Implementer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9F2A8" w14:textId="77777777" w:rsidR="0077726B" w:rsidRDefault="0077726B">
      <w:pPr>
        <w:spacing w:after="0" w:line="240" w:lineRule="auto"/>
      </w:pPr>
      <w:r>
        <w:separator/>
      </w:r>
    </w:p>
  </w:footnote>
  <w:footnote w:type="continuationSeparator" w:id="0">
    <w:p w14:paraId="7BFE9D6B" w14:textId="77777777" w:rsidR="0077726B" w:rsidRDefault="0077726B">
      <w:pPr>
        <w:spacing w:after="0" w:line="240" w:lineRule="auto"/>
      </w:pPr>
      <w:r>
        <w:continuationSeparator/>
      </w:r>
    </w:p>
  </w:footnote>
  <w:footnote w:id="1">
    <w:p w14:paraId="7B4227E0" w14:textId="196F8EC7" w:rsidR="00112FCC" w:rsidRPr="009F7946" w:rsidRDefault="0095286A">
      <w:pPr>
        <w:pStyle w:val="FootnoteText"/>
        <w:rPr>
          <w:rFonts w:ascii="Arial" w:hAnsi="Arial" w:cs="Arial"/>
          <w:sz w:val="22"/>
          <w:szCs w:val="22"/>
        </w:rPr>
      </w:pPr>
      <w:r w:rsidRPr="009F7946">
        <w:rPr>
          <w:rStyle w:val="FootnoteReference"/>
          <w:rFonts w:ascii="Arial" w:hAnsi="Arial" w:cs="Arial"/>
          <w:sz w:val="22"/>
          <w:szCs w:val="22"/>
        </w:rPr>
        <w:footnoteRef/>
      </w:r>
      <w:r w:rsidR="009E7B08" w:rsidRPr="009F7946">
        <w:rPr>
          <w:rFonts w:ascii="Arial" w:hAnsi="Arial" w:cs="Arial"/>
          <w:sz w:val="22"/>
          <w:szCs w:val="22"/>
        </w:rPr>
        <w:t xml:space="preserve"> </w:t>
      </w:r>
      <w:hyperlink r:id="rId1" w:history="1">
        <w:r w:rsidRPr="009F7946">
          <w:rPr>
            <w:rStyle w:val="Hyperlink"/>
            <w:rFonts w:ascii="Arial" w:eastAsia="Tahoma" w:hAnsi="Arial" w:cs="Arial"/>
            <w:sz w:val="22"/>
            <w:szCs w:val="22"/>
          </w:rPr>
          <w:t>California Code of Regulations (CCR), Title 20, Section 1353</w:t>
        </w:r>
      </w:hyperlink>
      <w:r w:rsidRPr="009F7946">
        <w:rPr>
          <w:rFonts w:ascii="Arial" w:eastAsia="Tahoma" w:hAnsi="Arial" w:cs="Arial"/>
          <w:sz w:val="22"/>
          <w:szCs w:val="22"/>
        </w:rPr>
        <w:t xml:space="preserve"> </w:t>
      </w:r>
      <w:r w:rsidR="009E7B08" w:rsidRPr="009F7946">
        <w:rPr>
          <w:rFonts w:ascii="Arial" w:eastAsia="Tahoma" w:hAnsi="Arial" w:cs="Arial"/>
          <w:sz w:val="22"/>
          <w:szCs w:val="22"/>
        </w:rPr>
        <w:t xml:space="preserve">is </w:t>
      </w:r>
      <w:r w:rsidRPr="009F7946">
        <w:rPr>
          <w:rFonts w:ascii="Arial" w:eastAsia="Arial" w:hAnsi="Arial" w:cs="Arial"/>
          <w:sz w:val="22"/>
          <w:szCs w:val="22"/>
        </w:rPr>
        <w:t xml:space="preserve">available at </w:t>
      </w:r>
      <w:r w:rsidR="000A4472" w:rsidRPr="009F7946">
        <w:rPr>
          <w:rFonts w:ascii="Arial" w:eastAsia="Arial" w:hAnsi="Arial" w:cs="Arial"/>
          <w:sz w:val="22"/>
          <w:szCs w:val="22"/>
        </w:rPr>
        <w:t>(</w:t>
      </w:r>
      <w:hyperlink r:id="rId2" w:history="1">
        <w:r w:rsidR="000A4472" w:rsidRPr="006C2BC8">
          <w:rPr>
            <w:rStyle w:val="Hyperlink"/>
            <w:rFonts w:ascii="Arial" w:hAnsi="Arial" w:cs="Arial"/>
            <w:color w:val="auto"/>
            <w:sz w:val="22"/>
            <w:szCs w:val="22"/>
            <w:u w:val="none"/>
          </w:rPr>
          <w:t>https://www.law.cornell.edu/regulations/california/20-CCR-1353</w:t>
        </w:r>
      </w:hyperlink>
      <w:r w:rsidR="000A4472" w:rsidRPr="009F7946">
        <w:rPr>
          <w:rFonts w:ascii="Arial" w:hAnsi="Arial" w:cs="Arial"/>
          <w:sz w:val="22"/>
          <w:szCs w:val="22"/>
        </w:rPr>
        <w:t>).</w:t>
      </w:r>
    </w:p>
    <w:p w14:paraId="2B589EE3" w14:textId="77777777" w:rsidR="00523316" w:rsidRPr="009F7946" w:rsidRDefault="00523316">
      <w:pPr>
        <w:pStyle w:val="FootnoteText"/>
        <w:rPr>
          <w:rFonts w:ascii="Arial" w:hAnsi="Arial" w:cs="Arial"/>
          <w:sz w:val="22"/>
          <w:szCs w:val="22"/>
        </w:rPr>
      </w:pPr>
    </w:p>
  </w:footnote>
  <w:footnote w:id="2">
    <w:p w14:paraId="2EDBC864" w14:textId="3C315FF3" w:rsidR="00AD5163" w:rsidRDefault="00AD5163">
      <w:pPr>
        <w:pStyle w:val="FootnoteText"/>
      </w:pPr>
      <w:r w:rsidRPr="009F7946">
        <w:rPr>
          <w:rStyle w:val="FootnoteReference"/>
          <w:rFonts w:ascii="Arial" w:hAnsi="Arial" w:cs="Arial"/>
          <w:sz w:val="22"/>
          <w:szCs w:val="22"/>
        </w:rPr>
        <w:footnoteRef/>
      </w:r>
      <w:r w:rsidRPr="009F7946">
        <w:rPr>
          <w:rFonts w:ascii="Arial" w:hAnsi="Arial" w:cs="Arial"/>
          <w:sz w:val="22"/>
          <w:szCs w:val="22"/>
        </w:rPr>
        <w:t xml:space="preserve"> </w:t>
      </w:r>
      <w:r w:rsidRPr="009F7946">
        <w:rPr>
          <w:rFonts w:ascii="Arial" w:eastAsia="Tahoma" w:hAnsi="Arial" w:cs="Arial"/>
          <w:sz w:val="22"/>
          <w:szCs w:val="22"/>
        </w:rPr>
        <w:t>CEC</w:t>
      </w:r>
      <w:r w:rsidR="00D0353A">
        <w:rPr>
          <w:rFonts w:ascii="Arial" w:eastAsia="Tahoma" w:hAnsi="Arial" w:cs="Arial"/>
          <w:sz w:val="22"/>
          <w:szCs w:val="22"/>
        </w:rPr>
        <w:t>’s adopted</w:t>
      </w:r>
      <w:r w:rsidRPr="009F7946">
        <w:rPr>
          <w:rFonts w:ascii="Arial" w:eastAsia="Tahoma" w:hAnsi="Arial" w:cs="Arial"/>
          <w:sz w:val="22"/>
          <w:szCs w:val="22"/>
        </w:rPr>
        <w:t xml:space="preserve"> </w:t>
      </w:r>
      <w:r w:rsidR="000825D7">
        <w:rPr>
          <w:rFonts w:ascii="Arial" w:eastAsia="Tahoma" w:hAnsi="Arial" w:cs="Arial"/>
          <w:sz w:val="22"/>
          <w:szCs w:val="22"/>
        </w:rPr>
        <w:t xml:space="preserve">Phase 3 </w:t>
      </w:r>
      <w:r w:rsidRPr="009F7946">
        <w:rPr>
          <w:rFonts w:ascii="Arial" w:eastAsia="Tahoma" w:hAnsi="Arial" w:cs="Arial"/>
          <w:sz w:val="22"/>
          <w:szCs w:val="22"/>
        </w:rPr>
        <w:t xml:space="preserve">Energy Data Collection </w:t>
      </w:r>
      <w:hyperlink r:id="rId3">
        <w:r w:rsidR="00DD414B" w:rsidRPr="009F7946">
          <w:rPr>
            <w:rStyle w:val="Hyperlink"/>
            <w:rFonts w:ascii="Arial" w:eastAsia="Tahoma" w:hAnsi="Arial" w:cs="Arial"/>
            <w:sz w:val="22"/>
            <w:szCs w:val="22"/>
          </w:rPr>
          <w:t>regulations</w:t>
        </w:r>
      </w:hyperlink>
      <w:r w:rsidR="00DD414B" w:rsidRPr="009F7946">
        <w:rPr>
          <w:rFonts w:ascii="Arial" w:hAnsi="Arial" w:cs="Arial"/>
          <w:sz w:val="22"/>
          <w:szCs w:val="22"/>
        </w:rPr>
        <w:t xml:space="preserve"> </w:t>
      </w:r>
      <w:r w:rsidRPr="009F7946">
        <w:rPr>
          <w:rFonts w:ascii="Arial" w:eastAsia="Tahoma" w:hAnsi="Arial" w:cs="Arial"/>
          <w:sz w:val="22"/>
          <w:szCs w:val="22"/>
        </w:rPr>
        <w:t xml:space="preserve">for Natural Gas and Renewable Natural Gas is </w:t>
      </w:r>
      <w:r w:rsidRPr="009F7946">
        <w:rPr>
          <w:rFonts w:ascii="Arial" w:eastAsia="Arial" w:hAnsi="Arial" w:cs="Arial"/>
          <w:sz w:val="22"/>
          <w:szCs w:val="22"/>
        </w:rPr>
        <w:t xml:space="preserve">available at </w:t>
      </w:r>
      <w:r w:rsidR="000A4472" w:rsidRPr="006C2BC8">
        <w:rPr>
          <w:rFonts w:ascii="Arial" w:eastAsia="Arial" w:hAnsi="Arial" w:cs="Arial"/>
          <w:sz w:val="22"/>
          <w:szCs w:val="22"/>
        </w:rPr>
        <w:t>(</w:t>
      </w:r>
      <w:hyperlink r:id="rId4" w:history="1">
        <w:r w:rsidR="000A4472" w:rsidRPr="006C2BC8">
          <w:rPr>
            <w:rStyle w:val="Hyperlink"/>
            <w:rFonts w:ascii="Arial" w:eastAsia="Arial" w:hAnsi="Arial" w:cs="Arial"/>
            <w:color w:val="auto"/>
            <w:sz w:val="22"/>
            <w:szCs w:val="22"/>
            <w:u w:val="none"/>
          </w:rPr>
          <w:t>https://www.energy.ca.gov/rules-and-regulations/energy-suppliers-reporting/clean-energy-and-pollution-reduction-act-sb-350/energy-data-collection-rulemaking</w:t>
        </w:r>
      </w:hyperlink>
      <w:r w:rsidR="000A4472" w:rsidRPr="009F7946">
        <w:rPr>
          <w:rFonts w:ascii="Arial" w:hAnsi="Arial"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7D9E6D2" w14:paraId="34F292C4" w14:textId="77777777" w:rsidTr="27D9E6D2">
      <w:trPr>
        <w:trHeight w:val="300"/>
      </w:trPr>
      <w:tc>
        <w:tcPr>
          <w:tcW w:w="3120" w:type="dxa"/>
        </w:tcPr>
        <w:p w14:paraId="0B5591F1" w14:textId="78CD23BC" w:rsidR="27D9E6D2" w:rsidRDefault="27D9E6D2" w:rsidP="27D9E6D2">
          <w:pPr>
            <w:pStyle w:val="Header"/>
            <w:ind w:left="-115"/>
          </w:pPr>
        </w:p>
      </w:tc>
      <w:tc>
        <w:tcPr>
          <w:tcW w:w="3120" w:type="dxa"/>
        </w:tcPr>
        <w:p w14:paraId="0DBA13BE" w14:textId="68FFBDB1" w:rsidR="27D9E6D2" w:rsidRDefault="27D9E6D2" w:rsidP="27D9E6D2">
          <w:pPr>
            <w:pStyle w:val="Header"/>
            <w:jc w:val="center"/>
          </w:pPr>
        </w:p>
      </w:tc>
      <w:tc>
        <w:tcPr>
          <w:tcW w:w="3120" w:type="dxa"/>
        </w:tcPr>
        <w:p w14:paraId="69F0D916" w14:textId="42CDF605" w:rsidR="27D9E6D2" w:rsidRDefault="27D9E6D2" w:rsidP="27D9E6D2">
          <w:pPr>
            <w:pStyle w:val="Header"/>
            <w:ind w:right="-115"/>
            <w:jc w:val="right"/>
          </w:pPr>
        </w:p>
      </w:tc>
    </w:tr>
  </w:tbl>
  <w:p w14:paraId="16B31024" w14:textId="0F36922E" w:rsidR="008720BC" w:rsidRDefault="008720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B4F"/>
    <w:multiLevelType w:val="multilevel"/>
    <w:tmpl w:val="57C0E4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501F0"/>
    <w:multiLevelType w:val="multilevel"/>
    <w:tmpl w:val="10FE399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A6F6B80"/>
    <w:multiLevelType w:val="multilevel"/>
    <w:tmpl w:val="C23C0A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722264"/>
    <w:multiLevelType w:val="multilevel"/>
    <w:tmpl w:val="24181C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4926445"/>
    <w:multiLevelType w:val="multilevel"/>
    <w:tmpl w:val="0E8EB16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5451B38"/>
    <w:multiLevelType w:val="multilevel"/>
    <w:tmpl w:val="DBBC76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61973BD"/>
    <w:multiLevelType w:val="multilevel"/>
    <w:tmpl w:val="C122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63282B"/>
    <w:multiLevelType w:val="multilevel"/>
    <w:tmpl w:val="72C8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F146D5"/>
    <w:multiLevelType w:val="multilevel"/>
    <w:tmpl w:val="55680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224F5D"/>
    <w:multiLevelType w:val="multilevel"/>
    <w:tmpl w:val="DA5228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2F37B68"/>
    <w:multiLevelType w:val="multilevel"/>
    <w:tmpl w:val="357A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CC1DA5"/>
    <w:multiLevelType w:val="multilevel"/>
    <w:tmpl w:val="FF0AB82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CC2C9E"/>
    <w:multiLevelType w:val="multilevel"/>
    <w:tmpl w:val="C7D0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DF24A2"/>
    <w:multiLevelType w:val="hybridMultilevel"/>
    <w:tmpl w:val="FFFFFFFF"/>
    <w:lvl w:ilvl="0" w:tplc="BABE8694">
      <w:start w:val="1"/>
      <w:numFmt w:val="bullet"/>
      <w:lvlText w:val=""/>
      <w:lvlJc w:val="left"/>
      <w:pPr>
        <w:ind w:left="720" w:hanging="360"/>
      </w:pPr>
      <w:rPr>
        <w:rFonts w:ascii="Symbol" w:hAnsi="Symbol" w:hint="default"/>
      </w:rPr>
    </w:lvl>
    <w:lvl w:ilvl="1" w:tplc="527CC02C">
      <w:start w:val="1"/>
      <w:numFmt w:val="bullet"/>
      <w:lvlText w:val="o"/>
      <w:lvlJc w:val="left"/>
      <w:pPr>
        <w:ind w:left="1440" w:hanging="360"/>
      </w:pPr>
      <w:rPr>
        <w:rFonts w:ascii="Courier New" w:hAnsi="Courier New" w:hint="default"/>
      </w:rPr>
    </w:lvl>
    <w:lvl w:ilvl="2" w:tplc="DF9CE464">
      <w:start w:val="1"/>
      <w:numFmt w:val="bullet"/>
      <w:lvlText w:val=""/>
      <w:lvlJc w:val="left"/>
      <w:pPr>
        <w:ind w:left="2160" w:hanging="360"/>
      </w:pPr>
      <w:rPr>
        <w:rFonts w:ascii="Wingdings" w:hAnsi="Wingdings" w:hint="default"/>
      </w:rPr>
    </w:lvl>
    <w:lvl w:ilvl="3" w:tplc="56D6C4FA">
      <w:start w:val="1"/>
      <w:numFmt w:val="bullet"/>
      <w:lvlText w:val=""/>
      <w:lvlJc w:val="left"/>
      <w:pPr>
        <w:ind w:left="2880" w:hanging="360"/>
      </w:pPr>
      <w:rPr>
        <w:rFonts w:ascii="Symbol" w:hAnsi="Symbol" w:hint="default"/>
      </w:rPr>
    </w:lvl>
    <w:lvl w:ilvl="4" w:tplc="671AC5EE">
      <w:start w:val="1"/>
      <w:numFmt w:val="bullet"/>
      <w:lvlText w:val="o"/>
      <w:lvlJc w:val="left"/>
      <w:pPr>
        <w:ind w:left="3600" w:hanging="360"/>
      </w:pPr>
      <w:rPr>
        <w:rFonts w:ascii="Courier New" w:hAnsi="Courier New" w:hint="default"/>
      </w:rPr>
    </w:lvl>
    <w:lvl w:ilvl="5" w:tplc="B2305746">
      <w:start w:val="1"/>
      <w:numFmt w:val="bullet"/>
      <w:lvlText w:val=""/>
      <w:lvlJc w:val="left"/>
      <w:pPr>
        <w:ind w:left="4320" w:hanging="360"/>
      </w:pPr>
      <w:rPr>
        <w:rFonts w:ascii="Wingdings" w:hAnsi="Wingdings" w:hint="default"/>
      </w:rPr>
    </w:lvl>
    <w:lvl w:ilvl="6" w:tplc="9A2880F4">
      <w:start w:val="1"/>
      <w:numFmt w:val="bullet"/>
      <w:lvlText w:val=""/>
      <w:lvlJc w:val="left"/>
      <w:pPr>
        <w:ind w:left="5040" w:hanging="360"/>
      </w:pPr>
      <w:rPr>
        <w:rFonts w:ascii="Symbol" w:hAnsi="Symbol" w:hint="default"/>
      </w:rPr>
    </w:lvl>
    <w:lvl w:ilvl="7" w:tplc="98EE5490">
      <w:start w:val="1"/>
      <w:numFmt w:val="bullet"/>
      <w:lvlText w:val="o"/>
      <w:lvlJc w:val="left"/>
      <w:pPr>
        <w:ind w:left="5760" w:hanging="360"/>
      </w:pPr>
      <w:rPr>
        <w:rFonts w:ascii="Courier New" w:hAnsi="Courier New" w:hint="default"/>
      </w:rPr>
    </w:lvl>
    <w:lvl w:ilvl="8" w:tplc="819CB274">
      <w:start w:val="1"/>
      <w:numFmt w:val="bullet"/>
      <w:lvlText w:val=""/>
      <w:lvlJc w:val="left"/>
      <w:pPr>
        <w:ind w:left="6480" w:hanging="360"/>
      </w:pPr>
      <w:rPr>
        <w:rFonts w:ascii="Wingdings" w:hAnsi="Wingdings" w:hint="default"/>
      </w:rPr>
    </w:lvl>
  </w:abstractNum>
  <w:abstractNum w:abstractNumId="14" w15:restartNumberingAfterBreak="0">
    <w:nsid w:val="67492857"/>
    <w:multiLevelType w:val="multilevel"/>
    <w:tmpl w:val="B986D95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6A1C135A"/>
    <w:multiLevelType w:val="multilevel"/>
    <w:tmpl w:val="1346B4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713E369A"/>
    <w:multiLevelType w:val="multilevel"/>
    <w:tmpl w:val="04FC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A2259D"/>
    <w:multiLevelType w:val="multilevel"/>
    <w:tmpl w:val="7CF4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4552709">
    <w:abstractNumId w:val="13"/>
  </w:num>
  <w:num w:numId="2" w16cid:durableId="1154613426">
    <w:abstractNumId w:val="8"/>
  </w:num>
  <w:num w:numId="3" w16cid:durableId="1528525385">
    <w:abstractNumId w:val="15"/>
  </w:num>
  <w:num w:numId="4" w16cid:durableId="646513373">
    <w:abstractNumId w:val="9"/>
  </w:num>
  <w:num w:numId="5" w16cid:durableId="1843353122">
    <w:abstractNumId w:val="0"/>
  </w:num>
  <w:num w:numId="6" w16cid:durableId="1116756813">
    <w:abstractNumId w:val="3"/>
  </w:num>
  <w:num w:numId="7" w16cid:durableId="602417739">
    <w:abstractNumId w:val="2"/>
  </w:num>
  <w:num w:numId="8" w16cid:durableId="633483488">
    <w:abstractNumId w:val="1"/>
  </w:num>
  <w:num w:numId="9" w16cid:durableId="242841848">
    <w:abstractNumId w:val="5"/>
  </w:num>
  <w:num w:numId="10" w16cid:durableId="1850219014">
    <w:abstractNumId w:val="11"/>
  </w:num>
  <w:num w:numId="11" w16cid:durableId="1892418795">
    <w:abstractNumId w:val="4"/>
  </w:num>
  <w:num w:numId="12" w16cid:durableId="1173032541">
    <w:abstractNumId w:val="14"/>
  </w:num>
  <w:num w:numId="13" w16cid:durableId="294336581">
    <w:abstractNumId w:val="10"/>
  </w:num>
  <w:num w:numId="14" w16cid:durableId="1734036115">
    <w:abstractNumId w:val="16"/>
  </w:num>
  <w:num w:numId="15" w16cid:durableId="1296987614">
    <w:abstractNumId w:val="17"/>
  </w:num>
  <w:num w:numId="16" w16cid:durableId="449592289">
    <w:abstractNumId w:val="12"/>
  </w:num>
  <w:num w:numId="17" w16cid:durableId="935098049">
    <w:abstractNumId w:val="7"/>
  </w:num>
  <w:num w:numId="18" w16cid:durableId="13601625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229"/>
    <w:rsid w:val="000006AE"/>
    <w:rsid w:val="00010EEC"/>
    <w:rsid w:val="0001683A"/>
    <w:rsid w:val="000175D7"/>
    <w:rsid w:val="00021D0F"/>
    <w:rsid w:val="00023A05"/>
    <w:rsid w:val="0003116A"/>
    <w:rsid w:val="0004114B"/>
    <w:rsid w:val="00041F44"/>
    <w:rsid w:val="00043DE2"/>
    <w:rsid w:val="00046BDB"/>
    <w:rsid w:val="00050E1E"/>
    <w:rsid w:val="000566DC"/>
    <w:rsid w:val="00057312"/>
    <w:rsid w:val="00057329"/>
    <w:rsid w:val="00061961"/>
    <w:rsid w:val="000671E7"/>
    <w:rsid w:val="00073B35"/>
    <w:rsid w:val="00076DF1"/>
    <w:rsid w:val="000771A4"/>
    <w:rsid w:val="00077775"/>
    <w:rsid w:val="000809AA"/>
    <w:rsid w:val="000813EA"/>
    <w:rsid w:val="000825D7"/>
    <w:rsid w:val="0008268B"/>
    <w:rsid w:val="00084AEB"/>
    <w:rsid w:val="00084E8A"/>
    <w:rsid w:val="00090EA6"/>
    <w:rsid w:val="0009346B"/>
    <w:rsid w:val="00093D6A"/>
    <w:rsid w:val="00096060"/>
    <w:rsid w:val="00096AB1"/>
    <w:rsid w:val="000A2C6B"/>
    <w:rsid w:val="000A4472"/>
    <w:rsid w:val="000A6147"/>
    <w:rsid w:val="000B18A3"/>
    <w:rsid w:val="000B4825"/>
    <w:rsid w:val="000B5ED5"/>
    <w:rsid w:val="000C1DDF"/>
    <w:rsid w:val="000D056A"/>
    <w:rsid w:val="000D6CE4"/>
    <w:rsid w:val="000E56F0"/>
    <w:rsid w:val="000E77BD"/>
    <w:rsid w:val="000F0B12"/>
    <w:rsid w:val="00102ED8"/>
    <w:rsid w:val="001037D2"/>
    <w:rsid w:val="00106627"/>
    <w:rsid w:val="00107169"/>
    <w:rsid w:val="00110995"/>
    <w:rsid w:val="00110C43"/>
    <w:rsid w:val="00111DA3"/>
    <w:rsid w:val="00111F65"/>
    <w:rsid w:val="00112FCC"/>
    <w:rsid w:val="00120B05"/>
    <w:rsid w:val="00122132"/>
    <w:rsid w:val="001248ED"/>
    <w:rsid w:val="00126B9F"/>
    <w:rsid w:val="00127F5B"/>
    <w:rsid w:val="0013039E"/>
    <w:rsid w:val="0013255F"/>
    <w:rsid w:val="001356D4"/>
    <w:rsid w:val="00135AAC"/>
    <w:rsid w:val="00136293"/>
    <w:rsid w:val="00152159"/>
    <w:rsid w:val="00160000"/>
    <w:rsid w:val="00163AB6"/>
    <w:rsid w:val="001672BA"/>
    <w:rsid w:val="00170924"/>
    <w:rsid w:val="00175B8F"/>
    <w:rsid w:val="00177A4E"/>
    <w:rsid w:val="0018116E"/>
    <w:rsid w:val="00181DD7"/>
    <w:rsid w:val="00182DAF"/>
    <w:rsid w:val="00182F65"/>
    <w:rsid w:val="001864F8"/>
    <w:rsid w:val="001A0B36"/>
    <w:rsid w:val="001A1202"/>
    <w:rsid w:val="001A395D"/>
    <w:rsid w:val="001A3D9C"/>
    <w:rsid w:val="001A7351"/>
    <w:rsid w:val="001B0887"/>
    <w:rsid w:val="001B31D1"/>
    <w:rsid w:val="001C0479"/>
    <w:rsid w:val="001C4384"/>
    <w:rsid w:val="001D27A0"/>
    <w:rsid w:val="001D3E39"/>
    <w:rsid w:val="001E2479"/>
    <w:rsid w:val="001F04D2"/>
    <w:rsid w:val="001F4EB6"/>
    <w:rsid w:val="001F7208"/>
    <w:rsid w:val="0020069B"/>
    <w:rsid w:val="002037BC"/>
    <w:rsid w:val="00217AB6"/>
    <w:rsid w:val="0022176C"/>
    <w:rsid w:val="00224E83"/>
    <w:rsid w:val="002325E4"/>
    <w:rsid w:val="0023546B"/>
    <w:rsid w:val="002372E4"/>
    <w:rsid w:val="0025050C"/>
    <w:rsid w:val="002508C6"/>
    <w:rsid w:val="0025638F"/>
    <w:rsid w:val="0025766B"/>
    <w:rsid w:val="00260101"/>
    <w:rsid w:val="0026190A"/>
    <w:rsid w:val="00264D5E"/>
    <w:rsid w:val="00264F4D"/>
    <w:rsid w:val="00275552"/>
    <w:rsid w:val="00277386"/>
    <w:rsid w:val="00280234"/>
    <w:rsid w:val="00280A04"/>
    <w:rsid w:val="00281528"/>
    <w:rsid w:val="002827C7"/>
    <w:rsid w:val="00285E3D"/>
    <w:rsid w:val="00286488"/>
    <w:rsid w:val="00286917"/>
    <w:rsid w:val="00287F67"/>
    <w:rsid w:val="00291A93"/>
    <w:rsid w:val="002A1308"/>
    <w:rsid w:val="002A1F72"/>
    <w:rsid w:val="002A2B52"/>
    <w:rsid w:val="002B1186"/>
    <w:rsid w:val="002B236A"/>
    <w:rsid w:val="002B4631"/>
    <w:rsid w:val="002C2E5E"/>
    <w:rsid w:val="002C32B9"/>
    <w:rsid w:val="002C38F4"/>
    <w:rsid w:val="002C3E69"/>
    <w:rsid w:val="002C697F"/>
    <w:rsid w:val="002D3B5B"/>
    <w:rsid w:val="002D4877"/>
    <w:rsid w:val="002D48B4"/>
    <w:rsid w:val="002D71CD"/>
    <w:rsid w:val="002F001C"/>
    <w:rsid w:val="002F4E97"/>
    <w:rsid w:val="002F5282"/>
    <w:rsid w:val="002F6E73"/>
    <w:rsid w:val="0030113B"/>
    <w:rsid w:val="00306FDE"/>
    <w:rsid w:val="003076D6"/>
    <w:rsid w:val="00311FF3"/>
    <w:rsid w:val="00317532"/>
    <w:rsid w:val="00324B57"/>
    <w:rsid w:val="00324BB9"/>
    <w:rsid w:val="00324EC3"/>
    <w:rsid w:val="003250EF"/>
    <w:rsid w:val="003300A3"/>
    <w:rsid w:val="0033057A"/>
    <w:rsid w:val="00331384"/>
    <w:rsid w:val="00331460"/>
    <w:rsid w:val="0033273E"/>
    <w:rsid w:val="0034190B"/>
    <w:rsid w:val="003442CD"/>
    <w:rsid w:val="0034460C"/>
    <w:rsid w:val="00347B26"/>
    <w:rsid w:val="00351F3B"/>
    <w:rsid w:val="00355175"/>
    <w:rsid w:val="00357E87"/>
    <w:rsid w:val="00362846"/>
    <w:rsid w:val="0036650A"/>
    <w:rsid w:val="00366EDF"/>
    <w:rsid w:val="00370A05"/>
    <w:rsid w:val="003713A6"/>
    <w:rsid w:val="0037513E"/>
    <w:rsid w:val="00385FA8"/>
    <w:rsid w:val="00387EC3"/>
    <w:rsid w:val="00392119"/>
    <w:rsid w:val="00392738"/>
    <w:rsid w:val="00392F62"/>
    <w:rsid w:val="003946D3"/>
    <w:rsid w:val="00396ECE"/>
    <w:rsid w:val="003A3550"/>
    <w:rsid w:val="003A421F"/>
    <w:rsid w:val="003A48BB"/>
    <w:rsid w:val="003A746B"/>
    <w:rsid w:val="003B1E32"/>
    <w:rsid w:val="003B2D56"/>
    <w:rsid w:val="003B63CF"/>
    <w:rsid w:val="003B6957"/>
    <w:rsid w:val="003C0548"/>
    <w:rsid w:val="003C7DF7"/>
    <w:rsid w:val="003E2533"/>
    <w:rsid w:val="003E42A4"/>
    <w:rsid w:val="003E5CB3"/>
    <w:rsid w:val="003F0199"/>
    <w:rsid w:val="003F4646"/>
    <w:rsid w:val="003F58B4"/>
    <w:rsid w:val="003F7600"/>
    <w:rsid w:val="00406316"/>
    <w:rsid w:val="00407BFB"/>
    <w:rsid w:val="00412C4D"/>
    <w:rsid w:val="00413049"/>
    <w:rsid w:val="00413B6B"/>
    <w:rsid w:val="00416C31"/>
    <w:rsid w:val="00423036"/>
    <w:rsid w:val="0042332C"/>
    <w:rsid w:val="00424ADB"/>
    <w:rsid w:val="004266EC"/>
    <w:rsid w:val="00427ED0"/>
    <w:rsid w:val="00431823"/>
    <w:rsid w:val="004406D2"/>
    <w:rsid w:val="004437A1"/>
    <w:rsid w:val="00443DC9"/>
    <w:rsid w:val="004604FA"/>
    <w:rsid w:val="004665CE"/>
    <w:rsid w:val="00475DB8"/>
    <w:rsid w:val="004857E1"/>
    <w:rsid w:val="004865BE"/>
    <w:rsid w:val="00486A08"/>
    <w:rsid w:val="00490C6B"/>
    <w:rsid w:val="00497601"/>
    <w:rsid w:val="004A2671"/>
    <w:rsid w:val="004A590B"/>
    <w:rsid w:val="004B0DA9"/>
    <w:rsid w:val="004B1FFC"/>
    <w:rsid w:val="004B4D4D"/>
    <w:rsid w:val="004C6BFA"/>
    <w:rsid w:val="004C6C02"/>
    <w:rsid w:val="004C7191"/>
    <w:rsid w:val="004C7D02"/>
    <w:rsid w:val="004D0770"/>
    <w:rsid w:val="004D11E5"/>
    <w:rsid w:val="004D79E1"/>
    <w:rsid w:val="004D7D57"/>
    <w:rsid w:val="004E095B"/>
    <w:rsid w:val="004E751C"/>
    <w:rsid w:val="005046EA"/>
    <w:rsid w:val="005063C2"/>
    <w:rsid w:val="0050697C"/>
    <w:rsid w:val="005105BB"/>
    <w:rsid w:val="005119CF"/>
    <w:rsid w:val="0051527C"/>
    <w:rsid w:val="005153C5"/>
    <w:rsid w:val="005168F0"/>
    <w:rsid w:val="00517035"/>
    <w:rsid w:val="00521BBC"/>
    <w:rsid w:val="00523316"/>
    <w:rsid w:val="005306F5"/>
    <w:rsid w:val="00531C36"/>
    <w:rsid w:val="0053365B"/>
    <w:rsid w:val="005349CE"/>
    <w:rsid w:val="0055126B"/>
    <w:rsid w:val="005536B4"/>
    <w:rsid w:val="0055440D"/>
    <w:rsid w:val="00554C80"/>
    <w:rsid w:val="00555162"/>
    <w:rsid w:val="00556338"/>
    <w:rsid w:val="00561165"/>
    <w:rsid w:val="00565747"/>
    <w:rsid w:val="00575518"/>
    <w:rsid w:val="00577233"/>
    <w:rsid w:val="005871DE"/>
    <w:rsid w:val="00591953"/>
    <w:rsid w:val="005B0589"/>
    <w:rsid w:val="005B2DC5"/>
    <w:rsid w:val="005B64E8"/>
    <w:rsid w:val="005C4301"/>
    <w:rsid w:val="005D34FD"/>
    <w:rsid w:val="005D48BD"/>
    <w:rsid w:val="005D764E"/>
    <w:rsid w:val="005D77F9"/>
    <w:rsid w:val="005E75F0"/>
    <w:rsid w:val="005F3877"/>
    <w:rsid w:val="005F5955"/>
    <w:rsid w:val="005F6C51"/>
    <w:rsid w:val="005F7319"/>
    <w:rsid w:val="006151DE"/>
    <w:rsid w:val="00616DFB"/>
    <w:rsid w:val="00630E4F"/>
    <w:rsid w:val="0063192E"/>
    <w:rsid w:val="00634385"/>
    <w:rsid w:val="0064358E"/>
    <w:rsid w:val="00643973"/>
    <w:rsid w:val="006447B0"/>
    <w:rsid w:val="00646E1C"/>
    <w:rsid w:val="00651836"/>
    <w:rsid w:val="00651C9B"/>
    <w:rsid w:val="00651EB0"/>
    <w:rsid w:val="00654DA3"/>
    <w:rsid w:val="00666D1A"/>
    <w:rsid w:val="0066730D"/>
    <w:rsid w:val="00667861"/>
    <w:rsid w:val="00672452"/>
    <w:rsid w:val="00672A0D"/>
    <w:rsid w:val="00672A81"/>
    <w:rsid w:val="00675B4B"/>
    <w:rsid w:val="00681938"/>
    <w:rsid w:val="0068595F"/>
    <w:rsid w:val="00686246"/>
    <w:rsid w:val="00691682"/>
    <w:rsid w:val="00691B00"/>
    <w:rsid w:val="00695BF5"/>
    <w:rsid w:val="006960D9"/>
    <w:rsid w:val="0069672B"/>
    <w:rsid w:val="006970BD"/>
    <w:rsid w:val="006972D1"/>
    <w:rsid w:val="006A5542"/>
    <w:rsid w:val="006B0183"/>
    <w:rsid w:val="006B05B1"/>
    <w:rsid w:val="006B375E"/>
    <w:rsid w:val="006B3B37"/>
    <w:rsid w:val="006C2BC8"/>
    <w:rsid w:val="006C4263"/>
    <w:rsid w:val="006C5099"/>
    <w:rsid w:val="006D09B5"/>
    <w:rsid w:val="006D201E"/>
    <w:rsid w:val="006D2E47"/>
    <w:rsid w:val="006E1AE4"/>
    <w:rsid w:val="006E20B8"/>
    <w:rsid w:val="006E4EA4"/>
    <w:rsid w:val="006F1C55"/>
    <w:rsid w:val="006F2558"/>
    <w:rsid w:val="00704E87"/>
    <w:rsid w:val="00706EDE"/>
    <w:rsid w:val="0070775E"/>
    <w:rsid w:val="00710A75"/>
    <w:rsid w:val="00710ED3"/>
    <w:rsid w:val="00714236"/>
    <w:rsid w:val="0072415C"/>
    <w:rsid w:val="007278D2"/>
    <w:rsid w:val="007303B9"/>
    <w:rsid w:val="00731DBD"/>
    <w:rsid w:val="007323E9"/>
    <w:rsid w:val="00734EE6"/>
    <w:rsid w:val="00736093"/>
    <w:rsid w:val="0073691C"/>
    <w:rsid w:val="00737DB2"/>
    <w:rsid w:val="00740CC1"/>
    <w:rsid w:val="00741626"/>
    <w:rsid w:val="0074176D"/>
    <w:rsid w:val="00743756"/>
    <w:rsid w:val="00744A3F"/>
    <w:rsid w:val="0075204B"/>
    <w:rsid w:val="007537AB"/>
    <w:rsid w:val="00757409"/>
    <w:rsid w:val="00762562"/>
    <w:rsid w:val="0076794B"/>
    <w:rsid w:val="00770BDA"/>
    <w:rsid w:val="007715DC"/>
    <w:rsid w:val="0077270B"/>
    <w:rsid w:val="007738E2"/>
    <w:rsid w:val="0077726B"/>
    <w:rsid w:val="00783FE5"/>
    <w:rsid w:val="00784D6E"/>
    <w:rsid w:val="00793971"/>
    <w:rsid w:val="007B344D"/>
    <w:rsid w:val="007B6AC6"/>
    <w:rsid w:val="007C1308"/>
    <w:rsid w:val="007C5821"/>
    <w:rsid w:val="007D3336"/>
    <w:rsid w:val="007E0B51"/>
    <w:rsid w:val="007E2F8C"/>
    <w:rsid w:val="007E5A3C"/>
    <w:rsid w:val="007F0CBD"/>
    <w:rsid w:val="007F599C"/>
    <w:rsid w:val="007F5FC6"/>
    <w:rsid w:val="0081312A"/>
    <w:rsid w:val="00815451"/>
    <w:rsid w:val="00815E8A"/>
    <w:rsid w:val="008208A2"/>
    <w:rsid w:val="00823245"/>
    <w:rsid w:val="00826E18"/>
    <w:rsid w:val="00827E8B"/>
    <w:rsid w:val="0083194C"/>
    <w:rsid w:val="00835E4F"/>
    <w:rsid w:val="00845A35"/>
    <w:rsid w:val="008469B1"/>
    <w:rsid w:val="00853A97"/>
    <w:rsid w:val="008540E6"/>
    <w:rsid w:val="00855B0F"/>
    <w:rsid w:val="008618B2"/>
    <w:rsid w:val="00864696"/>
    <w:rsid w:val="008720BC"/>
    <w:rsid w:val="00872601"/>
    <w:rsid w:val="008733A3"/>
    <w:rsid w:val="00873C08"/>
    <w:rsid w:val="00876A39"/>
    <w:rsid w:val="00880868"/>
    <w:rsid w:val="0088133D"/>
    <w:rsid w:val="00882558"/>
    <w:rsid w:val="00887008"/>
    <w:rsid w:val="00887374"/>
    <w:rsid w:val="00887CEB"/>
    <w:rsid w:val="008907D4"/>
    <w:rsid w:val="00892D81"/>
    <w:rsid w:val="008932FA"/>
    <w:rsid w:val="0089416F"/>
    <w:rsid w:val="008A4628"/>
    <w:rsid w:val="008A5C47"/>
    <w:rsid w:val="008B6334"/>
    <w:rsid w:val="008B6D03"/>
    <w:rsid w:val="008D1C6B"/>
    <w:rsid w:val="008D2249"/>
    <w:rsid w:val="008D314D"/>
    <w:rsid w:val="008D7CE5"/>
    <w:rsid w:val="008E17FF"/>
    <w:rsid w:val="008E19DD"/>
    <w:rsid w:val="008E495E"/>
    <w:rsid w:val="008F17E2"/>
    <w:rsid w:val="008F27B2"/>
    <w:rsid w:val="008F407A"/>
    <w:rsid w:val="008F60D1"/>
    <w:rsid w:val="008F6229"/>
    <w:rsid w:val="00900E96"/>
    <w:rsid w:val="009031CB"/>
    <w:rsid w:val="00905B8A"/>
    <w:rsid w:val="0090690C"/>
    <w:rsid w:val="00912C73"/>
    <w:rsid w:val="00913DD6"/>
    <w:rsid w:val="00922113"/>
    <w:rsid w:val="00922F67"/>
    <w:rsid w:val="009267AE"/>
    <w:rsid w:val="00931E9A"/>
    <w:rsid w:val="009421BD"/>
    <w:rsid w:val="00942AF4"/>
    <w:rsid w:val="00944EFE"/>
    <w:rsid w:val="0095286A"/>
    <w:rsid w:val="0095385D"/>
    <w:rsid w:val="0096232F"/>
    <w:rsid w:val="009629B0"/>
    <w:rsid w:val="00962E88"/>
    <w:rsid w:val="0096384A"/>
    <w:rsid w:val="009652AD"/>
    <w:rsid w:val="009656D2"/>
    <w:rsid w:val="00967E7E"/>
    <w:rsid w:val="00971CB2"/>
    <w:rsid w:val="009739D2"/>
    <w:rsid w:val="00973BA2"/>
    <w:rsid w:val="00974444"/>
    <w:rsid w:val="00974D03"/>
    <w:rsid w:val="00975506"/>
    <w:rsid w:val="009876E3"/>
    <w:rsid w:val="009A039B"/>
    <w:rsid w:val="009A2A8F"/>
    <w:rsid w:val="009A47B0"/>
    <w:rsid w:val="009A56F7"/>
    <w:rsid w:val="009A7EE4"/>
    <w:rsid w:val="009B01E8"/>
    <w:rsid w:val="009B1EE3"/>
    <w:rsid w:val="009B73F1"/>
    <w:rsid w:val="009C4BFA"/>
    <w:rsid w:val="009D086C"/>
    <w:rsid w:val="009D1AB5"/>
    <w:rsid w:val="009E4BA3"/>
    <w:rsid w:val="009E7B08"/>
    <w:rsid w:val="009F10CE"/>
    <w:rsid w:val="009F3CC1"/>
    <w:rsid w:val="009F589A"/>
    <w:rsid w:val="009F73EB"/>
    <w:rsid w:val="009F7946"/>
    <w:rsid w:val="009F7F11"/>
    <w:rsid w:val="00A00028"/>
    <w:rsid w:val="00A00EB9"/>
    <w:rsid w:val="00A01EA7"/>
    <w:rsid w:val="00A03D1B"/>
    <w:rsid w:val="00A0421B"/>
    <w:rsid w:val="00A043A5"/>
    <w:rsid w:val="00A04C7E"/>
    <w:rsid w:val="00A05D74"/>
    <w:rsid w:val="00A06B85"/>
    <w:rsid w:val="00A06DFE"/>
    <w:rsid w:val="00A078AA"/>
    <w:rsid w:val="00A161AC"/>
    <w:rsid w:val="00A1623C"/>
    <w:rsid w:val="00A23F45"/>
    <w:rsid w:val="00A3105E"/>
    <w:rsid w:val="00A33ABC"/>
    <w:rsid w:val="00A354A2"/>
    <w:rsid w:val="00A35E3F"/>
    <w:rsid w:val="00A446EC"/>
    <w:rsid w:val="00A447E9"/>
    <w:rsid w:val="00A45D60"/>
    <w:rsid w:val="00A519B1"/>
    <w:rsid w:val="00A53B9F"/>
    <w:rsid w:val="00A5631D"/>
    <w:rsid w:val="00A605FA"/>
    <w:rsid w:val="00A623B5"/>
    <w:rsid w:val="00A63588"/>
    <w:rsid w:val="00A732F3"/>
    <w:rsid w:val="00A73476"/>
    <w:rsid w:val="00A74085"/>
    <w:rsid w:val="00A7799E"/>
    <w:rsid w:val="00A80F1D"/>
    <w:rsid w:val="00A8190C"/>
    <w:rsid w:val="00A82516"/>
    <w:rsid w:val="00A87CCC"/>
    <w:rsid w:val="00A9109E"/>
    <w:rsid w:val="00A91760"/>
    <w:rsid w:val="00A931F6"/>
    <w:rsid w:val="00A9671D"/>
    <w:rsid w:val="00AA554B"/>
    <w:rsid w:val="00AA5C52"/>
    <w:rsid w:val="00AA649F"/>
    <w:rsid w:val="00AA6C52"/>
    <w:rsid w:val="00AA7752"/>
    <w:rsid w:val="00AB33FC"/>
    <w:rsid w:val="00AB4F5B"/>
    <w:rsid w:val="00AB5EA8"/>
    <w:rsid w:val="00AC105D"/>
    <w:rsid w:val="00AC30BA"/>
    <w:rsid w:val="00AC36BA"/>
    <w:rsid w:val="00AC5344"/>
    <w:rsid w:val="00AC72B0"/>
    <w:rsid w:val="00AC776F"/>
    <w:rsid w:val="00AD0C4B"/>
    <w:rsid w:val="00AD5163"/>
    <w:rsid w:val="00AD5F86"/>
    <w:rsid w:val="00AE41E7"/>
    <w:rsid w:val="00AE4D4D"/>
    <w:rsid w:val="00AE721A"/>
    <w:rsid w:val="00AF0E07"/>
    <w:rsid w:val="00AF180C"/>
    <w:rsid w:val="00AF1D0A"/>
    <w:rsid w:val="00AF720A"/>
    <w:rsid w:val="00B001D4"/>
    <w:rsid w:val="00B020F7"/>
    <w:rsid w:val="00B02A5A"/>
    <w:rsid w:val="00B04CEC"/>
    <w:rsid w:val="00B20275"/>
    <w:rsid w:val="00B207CD"/>
    <w:rsid w:val="00B257CD"/>
    <w:rsid w:val="00B3244C"/>
    <w:rsid w:val="00B32882"/>
    <w:rsid w:val="00B346C0"/>
    <w:rsid w:val="00B360A5"/>
    <w:rsid w:val="00B45EDB"/>
    <w:rsid w:val="00B47BA4"/>
    <w:rsid w:val="00B50B90"/>
    <w:rsid w:val="00B53138"/>
    <w:rsid w:val="00B62762"/>
    <w:rsid w:val="00B64B5B"/>
    <w:rsid w:val="00B67E15"/>
    <w:rsid w:val="00B77254"/>
    <w:rsid w:val="00B812C4"/>
    <w:rsid w:val="00B82F7D"/>
    <w:rsid w:val="00B851E9"/>
    <w:rsid w:val="00B87D8C"/>
    <w:rsid w:val="00BA2F44"/>
    <w:rsid w:val="00BA3D5C"/>
    <w:rsid w:val="00BC2BD1"/>
    <w:rsid w:val="00BC48D3"/>
    <w:rsid w:val="00BD3838"/>
    <w:rsid w:val="00BD4DE2"/>
    <w:rsid w:val="00BD7E40"/>
    <w:rsid w:val="00BE1E06"/>
    <w:rsid w:val="00BE57D4"/>
    <w:rsid w:val="00BE7624"/>
    <w:rsid w:val="00BE7A0B"/>
    <w:rsid w:val="00BE7F0F"/>
    <w:rsid w:val="00BF19C8"/>
    <w:rsid w:val="00BF2DF7"/>
    <w:rsid w:val="00BF410C"/>
    <w:rsid w:val="00C039FD"/>
    <w:rsid w:val="00C03E8B"/>
    <w:rsid w:val="00C10AFF"/>
    <w:rsid w:val="00C14A8C"/>
    <w:rsid w:val="00C14CB5"/>
    <w:rsid w:val="00C16588"/>
    <w:rsid w:val="00C179C5"/>
    <w:rsid w:val="00C21036"/>
    <w:rsid w:val="00C24961"/>
    <w:rsid w:val="00C3078C"/>
    <w:rsid w:val="00C33B06"/>
    <w:rsid w:val="00C41E8D"/>
    <w:rsid w:val="00C42BB1"/>
    <w:rsid w:val="00C43AB2"/>
    <w:rsid w:val="00C44B8E"/>
    <w:rsid w:val="00C45BAC"/>
    <w:rsid w:val="00C4638D"/>
    <w:rsid w:val="00C47633"/>
    <w:rsid w:val="00C500FC"/>
    <w:rsid w:val="00C5068A"/>
    <w:rsid w:val="00C50D2F"/>
    <w:rsid w:val="00C555D4"/>
    <w:rsid w:val="00C5610A"/>
    <w:rsid w:val="00C56C4F"/>
    <w:rsid w:val="00C56CEE"/>
    <w:rsid w:val="00C57838"/>
    <w:rsid w:val="00C60136"/>
    <w:rsid w:val="00C60651"/>
    <w:rsid w:val="00C65662"/>
    <w:rsid w:val="00C70E63"/>
    <w:rsid w:val="00C73674"/>
    <w:rsid w:val="00C73A09"/>
    <w:rsid w:val="00C7732C"/>
    <w:rsid w:val="00C77674"/>
    <w:rsid w:val="00C8709C"/>
    <w:rsid w:val="00C90D5C"/>
    <w:rsid w:val="00C91414"/>
    <w:rsid w:val="00C91F72"/>
    <w:rsid w:val="00CA22E4"/>
    <w:rsid w:val="00CA5F07"/>
    <w:rsid w:val="00CBB9C3"/>
    <w:rsid w:val="00CC3476"/>
    <w:rsid w:val="00CC3D56"/>
    <w:rsid w:val="00CD500D"/>
    <w:rsid w:val="00CD62BC"/>
    <w:rsid w:val="00CD77F4"/>
    <w:rsid w:val="00CE2314"/>
    <w:rsid w:val="00CE3812"/>
    <w:rsid w:val="00CE5F4E"/>
    <w:rsid w:val="00CE65FB"/>
    <w:rsid w:val="00CF7E70"/>
    <w:rsid w:val="00D0353A"/>
    <w:rsid w:val="00D109A7"/>
    <w:rsid w:val="00D21729"/>
    <w:rsid w:val="00D22972"/>
    <w:rsid w:val="00D2313A"/>
    <w:rsid w:val="00D26E69"/>
    <w:rsid w:val="00D3246F"/>
    <w:rsid w:val="00D32F54"/>
    <w:rsid w:val="00D336E1"/>
    <w:rsid w:val="00D36395"/>
    <w:rsid w:val="00D430F5"/>
    <w:rsid w:val="00D4313A"/>
    <w:rsid w:val="00D540D9"/>
    <w:rsid w:val="00D5457B"/>
    <w:rsid w:val="00D56949"/>
    <w:rsid w:val="00D644DA"/>
    <w:rsid w:val="00D660F5"/>
    <w:rsid w:val="00D717C5"/>
    <w:rsid w:val="00D7379B"/>
    <w:rsid w:val="00D73DBF"/>
    <w:rsid w:val="00D742BD"/>
    <w:rsid w:val="00D77D33"/>
    <w:rsid w:val="00D8153F"/>
    <w:rsid w:val="00D83B30"/>
    <w:rsid w:val="00D87F62"/>
    <w:rsid w:val="00D92CF6"/>
    <w:rsid w:val="00DA3208"/>
    <w:rsid w:val="00DB1F52"/>
    <w:rsid w:val="00DB20B2"/>
    <w:rsid w:val="00DB362D"/>
    <w:rsid w:val="00DB3F7C"/>
    <w:rsid w:val="00DB51D1"/>
    <w:rsid w:val="00DB7351"/>
    <w:rsid w:val="00DC775B"/>
    <w:rsid w:val="00DC7F08"/>
    <w:rsid w:val="00DD114A"/>
    <w:rsid w:val="00DD414B"/>
    <w:rsid w:val="00DD4299"/>
    <w:rsid w:val="00DD7983"/>
    <w:rsid w:val="00DE0CB4"/>
    <w:rsid w:val="00DE7035"/>
    <w:rsid w:val="00DE7D45"/>
    <w:rsid w:val="00DF208D"/>
    <w:rsid w:val="00DF2A54"/>
    <w:rsid w:val="00DF5EB9"/>
    <w:rsid w:val="00DF6A93"/>
    <w:rsid w:val="00DF7075"/>
    <w:rsid w:val="00DF75BD"/>
    <w:rsid w:val="00E0264C"/>
    <w:rsid w:val="00E03177"/>
    <w:rsid w:val="00E04974"/>
    <w:rsid w:val="00E05002"/>
    <w:rsid w:val="00E06CD0"/>
    <w:rsid w:val="00E11798"/>
    <w:rsid w:val="00E242A3"/>
    <w:rsid w:val="00E256B9"/>
    <w:rsid w:val="00E31FCB"/>
    <w:rsid w:val="00E325BD"/>
    <w:rsid w:val="00E3496A"/>
    <w:rsid w:val="00E36F71"/>
    <w:rsid w:val="00E55342"/>
    <w:rsid w:val="00E57CE9"/>
    <w:rsid w:val="00E61A20"/>
    <w:rsid w:val="00E6473C"/>
    <w:rsid w:val="00E73AF1"/>
    <w:rsid w:val="00E75162"/>
    <w:rsid w:val="00E77B80"/>
    <w:rsid w:val="00E81C57"/>
    <w:rsid w:val="00E84371"/>
    <w:rsid w:val="00E84FC6"/>
    <w:rsid w:val="00E855E4"/>
    <w:rsid w:val="00E913C2"/>
    <w:rsid w:val="00EA246F"/>
    <w:rsid w:val="00EB17CC"/>
    <w:rsid w:val="00EB28A9"/>
    <w:rsid w:val="00EB2D51"/>
    <w:rsid w:val="00EB60B8"/>
    <w:rsid w:val="00EB64E0"/>
    <w:rsid w:val="00EC1347"/>
    <w:rsid w:val="00EC1E74"/>
    <w:rsid w:val="00EC2D13"/>
    <w:rsid w:val="00EC58FF"/>
    <w:rsid w:val="00EC61CE"/>
    <w:rsid w:val="00EC6834"/>
    <w:rsid w:val="00ED0264"/>
    <w:rsid w:val="00ED18BD"/>
    <w:rsid w:val="00ED49BA"/>
    <w:rsid w:val="00ED4B50"/>
    <w:rsid w:val="00ED4D20"/>
    <w:rsid w:val="00ED5650"/>
    <w:rsid w:val="00ED6925"/>
    <w:rsid w:val="00ED7FCF"/>
    <w:rsid w:val="00EE426C"/>
    <w:rsid w:val="00EE54BC"/>
    <w:rsid w:val="00EE6559"/>
    <w:rsid w:val="00EF4339"/>
    <w:rsid w:val="00EF58FD"/>
    <w:rsid w:val="00EF745C"/>
    <w:rsid w:val="00F01288"/>
    <w:rsid w:val="00F065A7"/>
    <w:rsid w:val="00F12071"/>
    <w:rsid w:val="00F13B35"/>
    <w:rsid w:val="00F14E2D"/>
    <w:rsid w:val="00F16920"/>
    <w:rsid w:val="00F201E0"/>
    <w:rsid w:val="00F2099A"/>
    <w:rsid w:val="00F2275E"/>
    <w:rsid w:val="00F234A8"/>
    <w:rsid w:val="00F234AF"/>
    <w:rsid w:val="00F255C0"/>
    <w:rsid w:val="00F2651A"/>
    <w:rsid w:val="00F400ED"/>
    <w:rsid w:val="00F41183"/>
    <w:rsid w:val="00F42D77"/>
    <w:rsid w:val="00F53B13"/>
    <w:rsid w:val="00F54764"/>
    <w:rsid w:val="00F57EF3"/>
    <w:rsid w:val="00F61D19"/>
    <w:rsid w:val="00F622AF"/>
    <w:rsid w:val="00F650D4"/>
    <w:rsid w:val="00F70395"/>
    <w:rsid w:val="00F72832"/>
    <w:rsid w:val="00F746FA"/>
    <w:rsid w:val="00F8151C"/>
    <w:rsid w:val="00F82597"/>
    <w:rsid w:val="00F835D2"/>
    <w:rsid w:val="00F8679A"/>
    <w:rsid w:val="00FA2613"/>
    <w:rsid w:val="00FA5ECE"/>
    <w:rsid w:val="00FA656F"/>
    <w:rsid w:val="00FB1776"/>
    <w:rsid w:val="00FB215A"/>
    <w:rsid w:val="00FB2E38"/>
    <w:rsid w:val="00FB39FF"/>
    <w:rsid w:val="00FB50CF"/>
    <w:rsid w:val="00FB7692"/>
    <w:rsid w:val="00FC1D15"/>
    <w:rsid w:val="00FC20AF"/>
    <w:rsid w:val="00FC27AE"/>
    <w:rsid w:val="00FC6C1B"/>
    <w:rsid w:val="00FD731F"/>
    <w:rsid w:val="00FE0F4E"/>
    <w:rsid w:val="00FE595A"/>
    <w:rsid w:val="01205CF2"/>
    <w:rsid w:val="014F1CB7"/>
    <w:rsid w:val="016E297A"/>
    <w:rsid w:val="01C6150A"/>
    <w:rsid w:val="01F27E55"/>
    <w:rsid w:val="021AB858"/>
    <w:rsid w:val="023ABF64"/>
    <w:rsid w:val="0256512C"/>
    <w:rsid w:val="027305A1"/>
    <w:rsid w:val="03538457"/>
    <w:rsid w:val="03630D76"/>
    <w:rsid w:val="0376358E"/>
    <w:rsid w:val="038E18BF"/>
    <w:rsid w:val="0390EF24"/>
    <w:rsid w:val="03C28E28"/>
    <w:rsid w:val="04568BE7"/>
    <w:rsid w:val="04A322C2"/>
    <w:rsid w:val="0532E1EA"/>
    <w:rsid w:val="053C3EC7"/>
    <w:rsid w:val="05500ECE"/>
    <w:rsid w:val="05ACBCF7"/>
    <w:rsid w:val="05C4C6B2"/>
    <w:rsid w:val="063F7C2A"/>
    <w:rsid w:val="066FACEE"/>
    <w:rsid w:val="06AE7E23"/>
    <w:rsid w:val="06CCDEBC"/>
    <w:rsid w:val="070DBB61"/>
    <w:rsid w:val="07124C7B"/>
    <w:rsid w:val="07EBF10F"/>
    <w:rsid w:val="0856AC69"/>
    <w:rsid w:val="086FC1E1"/>
    <w:rsid w:val="0896BBAA"/>
    <w:rsid w:val="08B8F2DC"/>
    <w:rsid w:val="08D19D76"/>
    <w:rsid w:val="09147F8C"/>
    <w:rsid w:val="0920B82A"/>
    <w:rsid w:val="093F931D"/>
    <w:rsid w:val="0978550E"/>
    <w:rsid w:val="099DB68B"/>
    <w:rsid w:val="09A43E4A"/>
    <w:rsid w:val="09C3A105"/>
    <w:rsid w:val="09C511BF"/>
    <w:rsid w:val="0A50D139"/>
    <w:rsid w:val="0ADB6607"/>
    <w:rsid w:val="0B10CB4F"/>
    <w:rsid w:val="0B23A07C"/>
    <w:rsid w:val="0B8D5A0B"/>
    <w:rsid w:val="0BA65492"/>
    <w:rsid w:val="0BC7D61A"/>
    <w:rsid w:val="0C1BEA77"/>
    <w:rsid w:val="0C7A8559"/>
    <w:rsid w:val="0CEFF106"/>
    <w:rsid w:val="0D3822F8"/>
    <w:rsid w:val="0DF98CDC"/>
    <w:rsid w:val="0DFAFCB2"/>
    <w:rsid w:val="0E4E74FD"/>
    <w:rsid w:val="0EB1AF62"/>
    <w:rsid w:val="0EB90C23"/>
    <w:rsid w:val="0F263D0F"/>
    <w:rsid w:val="0F4D9EB0"/>
    <w:rsid w:val="0F658FDA"/>
    <w:rsid w:val="0FD746BF"/>
    <w:rsid w:val="1013BC29"/>
    <w:rsid w:val="101EFF95"/>
    <w:rsid w:val="117CB425"/>
    <w:rsid w:val="11A269E8"/>
    <w:rsid w:val="1202D404"/>
    <w:rsid w:val="127C0621"/>
    <w:rsid w:val="12D5C147"/>
    <w:rsid w:val="12F73DE3"/>
    <w:rsid w:val="132679FB"/>
    <w:rsid w:val="13334411"/>
    <w:rsid w:val="136F90AC"/>
    <w:rsid w:val="13C4E709"/>
    <w:rsid w:val="13D1D083"/>
    <w:rsid w:val="1417AF0A"/>
    <w:rsid w:val="1451DA0D"/>
    <w:rsid w:val="1583E747"/>
    <w:rsid w:val="15B40CF5"/>
    <w:rsid w:val="16111B97"/>
    <w:rsid w:val="16DD093C"/>
    <w:rsid w:val="1701F18A"/>
    <w:rsid w:val="1729AFD2"/>
    <w:rsid w:val="17476FF7"/>
    <w:rsid w:val="1765E969"/>
    <w:rsid w:val="178AC85E"/>
    <w:rsid w:val="17990185"/>
    <w:rsid w:val="1908C6EF"/>
    <w:rsid w:val="190A3335"/>
    <w:rsid w:val="19ACE65A"/>
    <w:rsid w:val="19F59894"/>
    <w:rsid w:val="1A1AFDEE"/>
    <w:rsid w:val="1A26D8EB"/>
    <w:rsid w:val="1A3F971A"/>
    <w:rsid w:val="1A6715BD"/>
    <w:rsid w:val="1AF71D3C"/>
    <w:rsid w:val="1B290725"/>
    <w:rsid w:val="1B4477C7"/>
    <w:rsid w:val="1B4CB778"/>
    <w:rsid w:val="1C5660DA"/>
    <w:rsid w:val="1D177C84"/>
    <w:rsid w:val="1D446855"/>
    <w:rsid w:val="1E059F67"/>
    <w:rsid w:val="1E887163"/>
    <w:rsid w:val="1ED96FB5"/>
    <w:rsid w:val="1EEF948A"/>
    <w:rsid w:val="1EF2F1F2"/>
    <w:rsid w:val="1F64E83E"/>
    <w:rsid w:val="1F694075"/>
    <w:rsid w:val="1FC127E8"/>
    <w:rsid w:val="1FF13436"/>
    <w:rsid w:val="20071221"/>
    <w:rsid w:val="204E9CB6"/>
    <w:rsid w:val="205C07DF"/>
    <w:rsid w:val="213AA8D0"/>
    <w:rsid w:val="21B580E5"/>
    <w:rsid w:val="222D4E5A"/>
    <w:rsid w:val="22432DAD"/>
    <w:rsid w:val="22B95DAB"/>
    <w:rsid w:val="2309741B"/>
    <w:rsid w:val="2332B9C1"/>
    <w:rsid w:val="23BDC08A"/>
    <w:rsid w:val="243EEC12"/>
    <w:rsid w:val="247B5ACC"/>
    <w:rsid w:val="2502EDF3"/>
    <w:rsid w:val="25099784"/>
    <w:rsid w:val="252A3B71"/>
    <w:rsid w:val="254E4B66"/>
    <w:rsid w:val="256E54DE"/>
    <w:rsid w:val="2610D711"/>
    <w:rsid w:val="2618F14A"/>
    <w:rsid w:val="26232E6D"/>
    <w:rsid w:val="2661A6B5"/>
    <w:rsid w:val="26BD85A7"/>
    <w:rsid w:val="26C03C5A"/>
    <w:rsid w:val="26D6E3AE"/>
    <w:rsid w:val="26E6C302"/>
    <w:rsid w:val="26FDA209"/>
    <w:rsid w:val="27675A35"/>
    <w:rsid w:val="2789DBE8"/>
    <w:rsid w:val="27D9E6D2"/>
    <w:rsid w:val="281ACE49"/>
    <w:rsid w:val="2869E740"/>
    <w:rsid w:val="29327BCD"/>
    <w:rsid w:val="293E0FCA"/>
    <w:rsid w:val="2975CDED"/>
    <w:rsid w:val="2A9ADA18"/>
    <w:rsid w:val="2B505D43"/>
    <w:rsid w:val="2BA7040E"/>
    <w:rsid w:val="2BB9BEC5"/>
    <w:rsid w:val="2C2864B8"/>
    <w:rsid w:val="2C574003"/>
    <w:rsid w:val="2C7963F8"/>
    <w:rsid w:val="2CA69BF3"/>
    <w:rsid w:val="2CFE15E3"/>
    <w:rsid w:val="2D034830"/>
    <w:rsid w:val="2D0A581B"/>
    <w:rsid w:val="2D567D0D"/>
    <w:rsid w:val="2DA7D791"/>
    <w:rsid w:val="2E275AD0"/>
    <w:rsid w:val="2E638926"/>
    <w:rsid w:val="2F0431E2"/>
    <w:rsid w:val="2F235B92"/>
    <w:rsid w:val="2F261215"/>
    <w:rsid w:val="2F2C5080"/>
    <w:rsid w:val="2F648567"/>
    <w:rsid w:val="2F77B9BA"/>
    <w:rsid w:val="2F8082C0"/>
    <w:rsid w:val="2FA3DE9D"/>
    <w:rsid w:val="2FB27A3B"/>
    <w:rsid w:val="2FC107DB"/>
    <w:rsid w:val="2FE69B37"/>
    <w:rsid w:val="300FDB0B"/>
    <w:rsid w:val="3029588F"/>
    <w:rsid w:val="305A126C"/>
    <w:rsid w:val="3067E402"/>
    <w:rsid w:val="30870F7D"/>
    <w:rsid w:val="30F0AEB2"/>
    <w:rsid w:val="30FF0D4E"/>
    <w:rsid w:val="3110A0DF"/>
    <w:rsid w:val="311E22E0"/>
    <w:rsid w:val="312EF366"/>
    <w:rsid w:val="31CC8207"/>
    <w:rsid w:val="321E2490"/>
    <w:rsid w:val="3228C3A4"/>
    <w:rsid w:val="32590939"/>
    <w:rsid w:val="325EF814"/>
    <w:rsid w:val="32A47CD6"/>
    <w:rsid w:val="335F434A"/>
    <w:rsid w:val="339ADB08"/>
    <w:rsid w:val="33D3385B"/>
    <w:rsid w:val="34394C2F"/>
    <w:rsid w:val="34AF733E"/>
    <w:rsid w:val="34BFC0BE"/>
    <w:rsid w:val="34DF0885"/>
    <w:rsid w:val="35969011"/>
    <w:rsid w:val="35E3E3B5"/>
    <w:rsid w:val="3673D578"/>
    <w:rsid w:val="373B9049"/>
    <w:rsid w:val="3751B602"/>
    <w:rsid w:val="377C96D6"/>
    <w:rsid w:val="37F2D4C9"/>
    <w:rsid w:val="37F5786A"/>
    <w:rsid w:val="381B8894"/>
    <w:rsid w:val="38B6B97A"/>
    <w:rsid w:val="38FADB5B"/>
    <w:rsid w:val="390A91D2"/>
    <w:rsid w:val="399C0A9A"/>
    <w:rsid w:val="3A1C69F9"/>
    <w:rsid w:val="3A2BCAA6"/>
    <w:rsid w:val="3A3A2F90"/>
    <w:rsid w:val="3AE57ACE"/>
    <w:rsid w:val="3B162E0D"/>
    <w:rsid w:val="3B180D53"/>
    <w:rsid w:val="3B7CFCBB"/>
    <w:rsid w:val="3B853FD0"/>
    <w:rsid w:val="3BC61033"/>
    <w:rsid w:val="3BD02949"/>
    <w:rsid w:val="3BE7AAB4"/>
    <w:rsid w:val="3C2370E5"/>
    <w:rsid w:val="3C4AD68E"/>
    <w:rsid w:val="3CD77832"/>
    <w:rsid w:val="3D151E3A"/>
    <w:rsid w:val="3D45C80D"/>
    <w:rsid w:val="3D9E87F0"/>
    <w:rsid w:val="3E0B150B"/>
    <w:rsid w:val="3E7C35FB"/>
    <w:rsid w:val="3EB16393"/>
    <w:rsid w:val="3F0CAAEF"/>
    <w:rsid w:val="4018D58B"/>
    <w:rsid w:val="40231A3A"/>
    <w:rsid w:val="402E0A48"/>
    <w:rsid w:val="40A2F594"/>
    <w:rsid w:val="40A7367C"/>
    <w:rsid w:val="40CE442C"/>
    <w:rsid w:val="40DE3BC8"/>
    <w:rsid w:val="40EE10B6"/>
    <w:rsid w:val="4164E7B0"/>
    <w:rsid w:val="41CF126A"/>
    <w:rsid w:val="41DAB51C"/>
    <w:rsid w:val="41F1C56A"/>
    <w:rsid w:val="421FCAFF"/>
    <w:rsid w:val="4240E6A0"/>
    <w:rsid w:val="42EB34D2"/>
    <w:rsid w:val="43085501"/>
    <w:rsid w:val="43B90D85"/>
    <w:rsid w:val="442BC568"/>
    <w:rsid w:val="443AB299"/>
    <w:rsid w:val="44759FBC"/>
    <w:rsid w:val="44A1B872"/>
    <w:rsid w:val="44FE4675"/>
    <w:rsid w:val="4514CAB3"/>
    <w:rsid w:val="452ED5D4"/>
    <w:rsid w:val="454E45E7"/>
    <w:rsid w:val="45574C4B"/>
    <w:rsid w:val="45E124C5"/>
    <w:rsid w:val="46304DE7"/>
    <w:rsid w:val="46308072"/>
    <w:rsid w:val="465856C8"/>
    <w:rsid w:val="4696C927"/>
    <w:rsid w:val="46B25DFE"/>
    <w:rsid w:val="4763A14A"/>
    <w:rsid w:val="479DCC7C"/>
    <w:rsid w:val="47B0E96E"/>
    <w:rsid w:val="47D6A8DB"/>
    <w:rsid w:val="47D811CD"/>
    <w:rsid w:val="4805AE09"/>
    <w:rsid w:val="4829D548"/>
    <w:rsid w:val="48AC7094"/>
    <w:rsid w:val="48BF4E97"/>
    <w:rsid w:val="48D24F9B"/>
    <w:rsid w:val="4978F706"/>
    <w:rsid w:val="49C56DB6"/>
    <w:rsid w:val="49F6470D"/>
    <w:rsid w:val="4A6AD3F6"/>
    <w:rsid w:val="4ACA111D"/>
    <w:rsid w:val="4AD70C5C"/>
    <w:rsid w:val="4B4A1A05"/>
    <w:rsid w:val="4B869077"/>
    <w:rsid w:val="4BFF0AF4"/>
    <w:rsid w:val="4CD9D95C"/>
    <w:rsid w:val="4D6E87E7"/>
    <w:rsid w:val="4D9AD240"/>
    <w:rsid w:val="4DC69E64"/>
    <w:rsid w:val="4DE3ABB3"/>
    <w:rsid w:val="4E11592B"/>
    <w:rsid w:val="4E9351F3"/>
    <w:rsid w:val="4E9C47A2"/>
    <w:rsid w:val="4EF0F957"/>
    <w:rsid w:val="4F20091D"/>
    <w:rsid w:val="4F79DBF7"/>
    <w:rsid w:val="4FDEAA03"/>
    <w:rsid w:val="506AF0FA"/>
    <w:rsid w:val="50F164EE"/>
    <w:rsid w:val="511A56BF"/>
    <w:rsid w:val="5165002C"/>
    <w:rsid w:val="5197FAD6"/>
    <w:rsid w:val="51E9AB2F"/>
    <w:rsid w:val="52649DF0"/>
    <w:rsid w:val="52D7113A"/>
    <w:rsid w:val="530A6854"/>
    <w:rsid w:val="5363D3F8"/>
    <w:rsid w:val="53B22577"/>
    <w:rsid w:val="53D33276"/>
    <w:rsid w:val="5415633E"/>
    <w:rsid w:val="5469F44B"/>
    <w:rsid w:val="54BD5ACA"/>
    <w:rsid w:val="54E69814"/>
    <w:rsid w:val="550FD8B5"/>
    <w:rsid w:val="5519B70D"/>
    <w:rsid w:val="565E11DE"/>
    <w:rsid w:val="5679D57E"/>
    <w:rsid w:val="568D573A"/>
    <w:rsid w:val="569C0B94"/>
    <w:rsid w:val="5713E461"/>
    <w:rsid w:val="57180C03"/>
    <w:rsid w:val="5740B571"/>
    <w:rsid w:val="57829583"/>
    <w:rsid w:val="5785EBB7"/>
    <w:rsid w:val="578C5BC1"/>
    <w:rsid w:val="5891EB31"/>
    <w:rsid w:val="589CC584"/>
    <w:rsid w:val="58A69724"/>
    <w:rsid w:val="58B34A7A"/>
    <w:rsid w:val="58E33118"/>
    <w:rsid w:val="594D550F"/>
    <w:rsid w:val="59E8CE93"/>
    <w:rsid w:val="5A3F4276"/>
    <w:rsid w:val="5A726605"/>
    <w:rsid w:val="5A967A70"/>
    <w:rsid w:val="5AA4F9F5"/>
    <w:rsid w:val="5B8FA124"/>
    <w:rsid w:val="5BEE4EC4"/>
    <w:rsid w:val="5BF6E1F7"/>
    <w:rsid w:val="5C164316"/>
    <w:rsid w:val="5C956435"/>
    <w:rsid w:val="5CFB39CE"/>
    <w:rsid w:val="5DFFC184"/>
    <w:rsid w:val="5E027CAD"/>
    <w:rsid w:val="5E0D677D"/>
    <w:rsid w:val="5E1D7130"/>
    <w:rsid w:val="5E658E01"/>
    <w:rsid w:val="5E7A92F1"/>
    <w:rsid w:val="5F0A929E"/>
    <w:rsid w:val="5F495213"/>
    <w:rsid w:val="5FE0C6A9"/>
    <w:rsid w:val="600724C5"/>
    <w:rsid w:val="607CDB9F"/>
    <w:rsid w:val="6081EF55"/>
    <w:rsid w:val="60BAA211"/>
    <w:rsid w:val="60D13AD6"/>
    <w:rsid w:val="60E2997F"/>
    <w:rsid w:val="60E40C46"/>
    <w:rsid w:val="60E60D53"/>
    <w:rsid w:val="6117D266"/>
    <w:rsid w:val="6122657F"/>
    <w:rsid w:val="6125FD02"/>
    <w:rsid w:val="6191E44A"/>
    <w:rsid w:val="61D1EC51"/>
    <w:rsid w:val="61E89A2D"/>
    <w:rsid w:val="630753CC"/>
    <w:rsid w:val="630D4370"/>
    <w:rsid w:val="638C18C1"/>
    <w:rsid w:val="638E0C6E"/>
    <w:rsid w:val="63A3CF03"/>
    <w:rsid w:val="63A75F77"/>
    <w:rsid w:val="63D394D4"/>
    <w:rsid w:val="6405912E"/>
    <w:rsid w:val="6454335A"/>
    <w:rsid w:val="6494B09D"/>
    <w:rsid w:val="64DE5290"/>
    <w:rsid w:val="6538B53F"/>
    <w:rsid w:val="65411362"/>
    <w:rsid w:val="655240C0"/>
    <w:rsid w:val="655CA79F"/>
    <w:rsid w:val="658F8726"/>
    <w:rsid w:val="659A9BE1"/>
    <w:rsid w:val="65DDB737"/>
    <w:rsid w:val="66206072"/>
    <w:rsid w:val="667380C7"/>
    <w:rsid w:val="668484EC"/>
    <w:rsid w:val="669FE289"/>
    <w:rsid w:val="67114002"/>
    <w:rsid w:val="6719BD2C"/>
    <w:rsid w:val="6733E9F4"/>
    <w:rsid w:val="673BB97F"/>
    <w:rsid w:val="675F63DE"/>
    <w:rsid w:val="67A07FA6"/>
    <w:rsid w:val="67AAD33D"/>
    <w:rsid w:val="67BE03C2"/>
    <w:rsid w:val="67F96F71"/>
    <w:rsid w:val="6845D1C3"/>
    <w:rsid w:val="6873F8DE"/>
    <w:rsid w:val="68DE3012"/>
    <w:rsid w:val="68E1F134"/>
    <w:rsid w:val="68FE295E"/>
    <w:rsid w:val="691ACA51"/>
    <w:rsid w:val="69CBF79D"/>
    <w:rsid w:val="69E1D863"/>
    <w:rsid w:val="6A25106B"/>
    <w:rsid w:val="6A6BDFB9"/>
    <w:rsid w:val="6AE92542"/>
    <w:rsid w:val="6B2EC5A3"/>
    <w:rsid w:val="6B318311"/>
    <w:rsid w:val="6B6238D1"/>
    <w:rsid w:val="6BA301A2"/>
    <w:rsid w:val="6BA4ED37"/>
    <w:rsid w:val="6BA821E2"/>
    <w:rsid w:val="6BD4D291"/>
    <w:rsid w:val="6BDD82E1"/>
    <w:rsid w:val="6BECA543"/>
    <w:rsid w:val="6C2E6725"/>
    <w:rsid w:val="6C5ED6EC"/>
    <w:rsid w:val="6C8C6A77"/>
    <w:rsid w:val="6CE716B0"/>
    <w:rsid w:val="6CFA7579"/>
    <w:rsid w:val="6D00035E"/>
    <w:rsid w:val="6D13F199"/>
    <w:rsid w:val="6D25D4F9"/>
    <w:rsid w:val="6D46E4A6"/>
    <w:rsid w:val="6D8827A7"/>
    <w:rsid w:val="6D982296"/>
    <w:rsid w:val="6DEB596A"/>
    <w:rsid w:val="6E431F16"/>
    <w:rsid w:val="6EBC740F"/>
    <w:rsid w:val="6EF51C2B"/>
    <w:rsid w:val="6F17E5B9"/>
    <w:rsid w:val="6F58CEC7"/>
    <w:rsid w:val="6FC24F52"/>
    <w:rsid w:val="703D57FE"/>
    <w:rsid w:val="7081AD1E"/>
    <w:rsid w:val="71E286EA"/>
    <w:rsid w:val="72028023"/>
    <w:rsid w:val="72629307"/>
    <w:rsid w:val="72CAA257"/>
    <w:rsid w:val="72D248E9"/>
    <w:rsid w:val="72F252D5"/>
    <w:rsid w:val="736E694E"/>
    <w:rsid w:val="73DE59FC"/>
    <w:rsid w:val="7426ED2E"/>
    <w:rsid w:val="74416ED9"/>
    <w:rsid w:val="745DD353"/>
    <w:rsid w:val="74EB4DEF"/>
    <w:rsid w:val="74F3A320"/>
    <w:rsid w:val="7520F4AA"/>
    <w:rsid w:val="755AF235"/>
    <w:rsid w:val="756CFE7F"/>
    <w:rsid w:val="75E2A18C"/>
    <w:rsid w:val="76035B10"/>
    <w:rsid w:val="7621FA79"/>
    <w:rsid w:val="763172D0"/>
    <w:rsid w:val="7637B395"/>
    <w:rsid w:val="7647C72F"/>
    <w:rsid w:val="76CC8647"/>
    <w:rsid w:val="770D726E"/>
    <w:rsid w:val="77266DB6"/>
    <w:rsid w:val="773094FF"/>
    <w:rsid w:val="788A68E4"/>
    <w:rsid w:val="78A6ADF9"/>
    <w:rsid w:val="79C2F4B6"/>
    <w:rsid w:val="7A3A8C89"/>
    <w:rsid w:val="7AB047BD"/>
    <w:rsid w:val="7AEEFF91"/>
    <w:rsid w:val="7B078B45"/>
    <w:rsid w:val="7B8D417F"/>
    <w:rsid w:val="7BE1C467"/>
    <w:rsid w:val="7C0EF7CC"/>
    <w:rsid w:val="7C165956"/>
    <w:rsid w:val="7C1E5E70"/>
    <w:rsid w:val="7CDB5855"/>
    <w:rsid w:val="7CEFDDA5"/>
    <w:rsid w:val="7CF0EE75"/>
    <w:rsid w:val="7D051650"/>
    <w:rsid w:val="7D05AA44"/>
    <w:rsid w:val="7D1A8B79"/>
    <w:rsid w:val="7DAA9F38"/>
    <w:rsid w:val="7DDA97EE"/>
    <w:rsid w:val="7E0E4B8D"/>
    <w:rsid w:val="7E2E06D1"/>
    <w:rsid w:val="7E5EF073"/>
    <w:rsid w:val="7E8B3BC5"/>
    <w:rsid w:val="7EBEA9A7"/>
    <w:rsid w:val="7F6EF189"/>
    <w:rsid w:val="7FC5B83F"/>
    <w:rsid w:val="7FEAF0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80AB"/>
  <w15:chartTrackingRefBased/>
  <w15:docId w15:val="{4E966291-26C8-40FF-B058-01214AA2B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2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2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2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2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2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2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2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2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2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2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229"/>
    <w:rPr>
      <w:rFonts w:eastAsiaTheme="majorEastAsia" w:cstheme="majorBidi"/>
      <w:color w:val="272727" w:themeColor="text1" w:themeTint="D8"/>
    </w:rPr>
  </w:style>
  <w:style w:type="paragraph" w:styleId="Title">
    <w:name w:val="Title"/>
    <w:basedOn w:val="Normal"/>
    <w:next w:val="Normal"/>
    <w:link w:val="TitleChar"/>
    <w:uiPriority w:val="10"/>
    <w:qFormat/>
    <w:rsid w:val="008F6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2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229"/>
    <w:pPr>
      <w:spacing w:before="160"/>
      <w:jc w:val="center"/>
    </w:pPr>
    <w:rPr>
      <w:i/>
      <w:iCs/>
      <w:color w:val="404040" w:themeColor="text1" w:themeTint="BF"/>
    </w:rPr>
  </w:style>
  <w:style w:type="character" w:customStyle="1" w:styleId="QuoteChar">
    <w:name w:val="Quote Char"/>
    <w:basedOn w:val="DefaultParagraphFont"/>
    <w:link w:val="Quote"/>
    <w:uiPriority w:val="29"/>
    <w:rsid w:val="008F6229"/>
    <w:rPr>
      <w:i/>
      <w:iCs/>
      <w:color w:val="404040" w:themeColor="text1" w:themeTint="BF"/>
    </w:rPr>
  </w:style>
  <w:style w:type="paragraph" w:styleId="ListParagraph">
    <w:name w:val="List Paragraph"/>
    <w:basedOn w:val="Normal"/>
    <w:uiPriority w:val="34"/>
    <w:qFormat/>
    <w:rsid w:val="008F6229"/>
    <w:pPr>
      <w:ind w:left="720"/>
      <w:contextualSpacing/>
    </w:pPr>
  </w:style>
  <w:style w:type="character" w:styleId="IntenseEmphasis">
    <w:name w:val="Intense Emphasis"/>
    <w:basedOn w:val="DefaultParagraphFont"/>
    <w:uiPriority w:val="21"/>
    <w:qFormat/>
    <w:rsid w:val="008F6229"/>
    <w:rPr>
      <w:i/>
      <w:iCs/>
      <w:color w:val="0F4761" w:themeColor="accent1" w:themeShade="BF"/>
    </w:rPr>
  </w:style>
  <w:style w:type="paragraph" w:styleId="IntenseQuote">
    <w:name w:val="Intense Quote"/>
    <w:basedOn w:val="Normal"/>
    <w:next w:val="Normal"/>
    <w:link w:val="IntenseQuoteChar"/>
    <w:uiPriority w:val="30"/>
    <w:qFormat/>
    <w:rsid w:val="008F6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229"/>
    <w:rPr>
      <w:i/>
      <w:iCs/>
      <w:color w:val="0F4761" w:themeColor="accent1" w:themeShade="BF"/>
    </w:rPr>
  </w:style>
  <w:style w:type="character" w:styleId="IntenseReference">
    <w:name w:val="Intense Reference"/>
    <w:basedOn w:val="DefaultParagraphFont"/>
    <w:uiPriority w:val="32"/>
    <w:qFormat/>
    <w:rsid w:val="008F6229"/>
    <w:rPr>
      <w:b/>
      <w:bCs/>
      <w:smallCaps/>
      <w:color w:val="0F4761" w:themeColor="accent1" w:themeShade="BF"/>
      <w:spacing w:val="5"/>
    </w:rPr>
  </w:style>
  <w:style w:type="table" w:styleId="TableGrid">
    <w:name w:val="Table Grid"/>
    <w:basedOn w:val="TableNormal"/>
    <w:uiPriority w:val="39"/>
    <w:rsid w:val="00D32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6FDE"/>
    <w:pPr>
      <w:spacing w:after="0" w:line="240" w:lineRule="auto"/>
    </w:pPr>
  </w:style>
  <w:style w:type="character" w:styleId="CommentReference">
    <w:name w:val="annotation reference"/>
    <w:basedOn w:val="DefaultParagraphFont"/>
    <w:uiPriority w:val="99"/>
    <w:semiHidden/>
    <w:unhideWhenUsed/>
    <w:rsid w:val="00905B8A"/>
    <w:rPr>
      <w:sz w:val="16"/>
      <w:szCs w:val="16"/>
    </w:rPr>
  </w:style>
  <w:style w:type="paragraph" w:styleId="CommentText">
    <w:name w:val="annotation text"/>
    <w:basedOn w:val="Normal"/>
    <w:link w:val="CommentTextChar"/>
    <w:uiPriority w:val="99"/>
    <w:unhideWhenUsed/>
    <w:rsid w:val="00905B8A"/>
    <w:pPr>
      <w:spacing w:line="240" w:lineRule="auto"/>
    </w:pPr>
    <w:rPr>
      <w:sz w:val="20"/>
      <w:szCs w:val="20"/>
    </w:rPr>
  </w:style>
  <w:style w:type="character" w:customStyle="1" w:styleId="CommentTextChar">
    <w:name w:val="Comment Text Char"/>
    <w:basedOn w:val="DefaultParagraphFont"/>
    <w:link w:val="CommentText"/>
    <w:uiPriority w:val="99"/>
    <w:rsid w:val="00905B8A"/>
    <w:rPr>
      <w:sz w:val="20"/>
      <w:szCs w:val="20"/>
    </w:rPr>
  </w:style>
  <w:style w:type="paragraph" w:styleId="CommentSubject">
    <w:name w:val="annotation subject"/>
    <w:basedOn w:val="CommentText"/>
    <w:next w:val="CommentText"/>
    <w:link w:val="CommentSubjectChar"/>
    <w:uiPriority w:val="99"/>
    <w:semiHidden/>
    <w:unhideWhenUsed/>
    <w:rsid w:val="00905B8A"/>
    <w:rPr>
      <w:b/>
      <w:bCs/>
    </w:rPr>
  </w:style>
  <w:style w:type="character" w:customStyle="1" w:styleId="CommentSubjectChar">
    <w:name w:val="Comment Subject Char"/>
    <w:basedOn w:val="CommentTextChar"/>
    <w:link w:val="CommentSubject"/>
    <w:uiPriority w:val="99"/>
    <w:semiHidden/>
    <w:rsid w:val="00905B8A"/>
    <w:rPr>
      <w:b/>
      <w:bCs/>
      <w:sz w:val="20"/>
      <w:szCs w:val="20"/>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335F434A"/>
    <w:rPr>
      <w:color w:val="467886"/>
      <w:u w:val="single"/>
    </w:rPr>
  </w:style>
  <w:style w:type="character" w:styleId="FollowedHyperlink">
    <w:name w:val="FollowedHyperlink"/>
    <w:basedOn w:val="DefaultParagraphFont"/>
    <w:uiPriority w:val="99"/>
    <w:semiHidden/>
    <w:unhideWhenUsed/>
    <w:rsid w:val="004B4D4D"/>
    <w:rPr>
      <w:color w:val="96607D" w:themeColor="followedHyperlink"/>
      <w:u w:val="single"/>
    </w:rPr>
  </w:style>
  <w:style w:type="character" w:styleId="UnresolvedMention">
    <w:name w:val="Unresolved Mention"/>
    <w:basedOn w:val="DefaultParagraphFont"/>
    <w:uiPriority w:val="99"/>
    <w:semiHidden/>
    <w:unhideWhenUsed/>
    <w:rsid w:val="00C47633"/>
    <w:rPr>
      <w:color w:val="605E5C"/>
      <w:shd w:val="clear" w:color="auto" w:fill="E1DFDD"/>
    </w:rPr>
  </w:style>
  <w:style w:type="paragraph" w:styleId="Header">
    <w:name w:val="header"/>
    <w:basedOn w:val="Normal"/>
    <w:link w:val="HeaderChar"/>
    <w:uiPriority w:val="99"/>
    <w:unhideWhenUsed/>
    <w:rsid w:val="00872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0BC"/>
  </w:style>
  <w:style w:type="paragraph" w:styleId="Footer">
    <w:name w:val="footer"/>
    <w:basedOn w:val="Normal"/>
    <w:link w:val="FooterChar"/>
    <w:uiPriority w:val="99"/>
    <w:unhideWhenUsed/>
    <w:rsid w:val="00872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0BC"/>
  </w:style>
  <w:style w:type="paragraph" w:styleId="FootnoteText">
    <w:name w:val="footnote text"/>
    <w:basedOn w:val="Normal"/>
    <w:link w:val="FootnoteTextChar"/>
    <w:uiPriority w:val="99"/>
    <w:semiHidden/>
    <w:unhideWhenUsed/>
    <w:rsid w:val="008720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0BC"/>
    <w:rPr>
      <w:sz w:val="20"/>
      <w:szCs w:val="20"/>
    </w:rPr>
  </w:style>
  <w:style w:type="character" w:styleId="FootnoteReference">
    <w:name w:val="footnote reference"/>
    <w:basedOn w:val="DefaultParagraphFont"/>
    <w:uiPriority w:val="99"/>
    <w:semiHidden/>
    <w:unhideWhenUsed/>
    <w:rsid w:val="008720BC"/>
    <w:rPr>
      <w:vertAlign w:val="superscript"/>
    </w:rPr>
  </w:style>
  <w:style w:type="character" w:styleId="PageNumber">
    <w:name w:val="page number"/>
    <w:basedOn w:val="DefaultParagraphFont"/>
    <w:rsid w:val="00163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603">
      <w:bodyDiv w:val="1"/>
      <w:marLeft w:val="0"/>
      <w:marRight w:val="0"/>
      <w:marTop w:val="0"/>
      <w:marBottom w:val="0"/>
      <w:divBdr>
        <w:top w:val="none" w:sz="0" w:space="0" w:color="auto"/>
        <w:left w:val="none" w:sz="0" w:space="0" w:color="auto"/>
        <w:bottom w:val="none" w:sz="0" w:space="0" w:color="auto"/>
        <w:right w:val="none" w:sz="0" w:space="0" w:color="auto"/>
      </w:divBdr>
      <w:divsChild>
        <w:div w:id="54209261">
          <w:marLeft w:val="0"/>
          <w:marRight w:val="0"/>
          <w:marTop w:val="0"/>
          <w:marBottom w:val="0"/>
          <w:divBdr>
            <w:top w:val="none" w:sz="0" w:space="0" w:color="auto"/>
            <w:left w:val="none" w:sz="0" w:space="0" w:color="auto"/>
            <w:bottom w:val="none" w:sz="0" w:space="0" w:color="auto"/>
            <w:right w:val="none" w:sz="0" w:space="0" w:color="auto"/>
          </w:divBdr>
        </w:div>
        <w:div w:id="74254463">
          <w:marLeft w:val="0"/>
          <w:marRight w:val="0"/>
          <w:marTop w:val="0"/>
          <w:marBottom w:val="0"/>
          <w:divBdr>
            <w:top w:val="none" w:sz="0" w:space="0" w:color="auto"/>
            <w:left w:val="none" w:sz="0" w:space="0" w:color="auto"/>
            <w:bottom w:val="none" w:sz="0" w:space="0" w:color="auto"/>
            <w:right w:val="none" w:sz="0" w:space="0" w:color="auto"/>
          </w:divBdr>
        </w:div>
        <w:div w:id="105320863">
          <w:marLeft w:val="0"/>
          <w:marRight w:val="0"/>
          <w:marTop w:val="0"/>
          <w:marBottom w:val="0"/>
          <w:divBdr>
            <w:top w:val="none" w:sz="0" w:space="0" w:color="auto"/>
            <w:left w:val="none" w:sz="0" w:space="0" w:color="auto"/>
            <w:bottom w:val="none" w:sz="0" w:space="0" w:color="auto"/>
            <w:right w:val="none" w:sz="0" w:space="0" w:color="auto"/>
          </w:divBdr>
        </w:div>
        <w:div w:id="466318280">
          <w:marLeft w:val="0"/>
          <w:marRight w:val="0"/>
          <w:marTop w:val="0"/>
          <w:marBottom w:val="0"/>
          <w:divBdr>
            <w:top w:val="none" w:sz="0" w:space="0" w:color="auto"/>
            <w:left w:val="none" w:sz="0" w:space="0" w:color="auto"/>
            <w:bottom w:val="none" w:sz="0" w:space="0" w:color="auto"/>
            <w:right w:val="none" w:sz="0" w:space="0" w:color="auto"/>
          </w:divBdr>
        </w:div>
        <w:div w:id="703603251">
          <w:marLeft w:val="0"/>
          <w:marRight w:val="0"/>
          <w:marTop w:val="0"/>
          <w:marBottom w:val="0"/>
          <w:divBdr>
            <w:top w:val="none" w:sz="0" w:space="0" w:color="auto"/>
            <w:left w:val="none" w:sz="0" w:space="0" w:color="auto"/>
            <w:bottom w:val="none" w:sz="0" w:space="0" w:color="auto"/>
            <w:right w:val="none" w:sz="0" w:space="0" w:color="auto"/>
          </w:divBdr>
        </w:div>
        <w:div w:id="1062097875">
          <w:marLeft w:val="0"/>
          <w:marRight w:val="0"/>
          <w:marTop w:val="0"/>
          <w:marBottom w:val="0"/>
          <w:divBdr>
            <w:top w:val="none" w:sz="0" w:space="0" w:color="auto"/>
            <w:left w:val="none" w:sz="0" w:space="0" w:color="auto"/>
            <w:bottom w:val="none" w:sz="0" w:space="0" w:color="auto"/>
            <w:right w:val="none" w:sz="0" w:space="0" w:color="auto"/>
          </w:divBdr>
        </w:div>
        <w:div w:id="1101025427">
          <w:marLeft w:val="0"/>
          <w:marRight w:val="0"/>
          <w:marTop w:val="0"/>
          <w:marBottom w:val="0"/>
          <w:divBdr>
            <w:top w:val="none" w:sz="0" w:space="0" w:color="auto"/>
            <w:left w:val="none" w:sz="0" w:space="0" w:color="auto"/>
            <w:bottom w:val="none" w:sz="0" w:space="0" w:color="auto"/>
            <w:right w:val="none" w:sz="0" w:space="0" w:color="auto"/>
          </w:divBdr>
        </w:div>
        <w:div w:id="1567105420">
          <w:marLeft w:val="0"/>
          <w:marRight w:val="0"/>
          <w:marTop w:val="0"/>
          <w:marBottom w:val="0"/>
          <w:divBdr>
            <w:top w:val="none" w:sz="0" w:space="0" w:color="auto"/>
            <w:left w:val="none" w:sz="0" w:space="0" w:color="auto"/>
            <w:bottom w:val="none" w:sz="0" w:space="0" w:color="auto"/>
            <w:right w:val="none" w:sz="0" w:space="0" w:color="auto"/>
          </w:divBdr>
        </w:div>
        <w:div w:id="1999191134">
          <w:marLeft w:val="0"/>
          <w:marRight w:val="0"/>
          <w:marTop w:val="0"/>
          <w:marBottom w:val="0"/>
          <w:divBdr>
            <w:top w:val="none" w:sz="0" w:space="0" w:color="auto"/>
            <w:left w:val="none" w:sz="0" w:space="0" w:color="auto"/>
            <w:bottom w:val="none" w:sz="0" w:space="0" w:color="auto"/>
            <w:right w:val="none" w:sz="0" w:space="0" w:color="auto"/>
          </w:divBdr>
        </w:div>
      </w:divsChild>
    </w:div>
    <w:div w:id="778330173">
      <w:bodyDiv w:val="1"/>
      <w:marLeft w:val="0"/>
      <w:marRight w:val="0"/>
      <w:marTop w:val="0"/>
      <w:marBottom w:val="0"/>
      <w:divBdr>
        <w:top w:val="none" w:sz="0" w:space="0" w:color="auto"/>
        <w:left w:val="none" w:sz="0" w:space="0" w:color="auto"/>
        <w:bottom w:val="none" w:sz="0" w:space="0" w:color="auto"/>
        <w:right w:val="none" w:sz="0" w:space="0" w:color="auto"/>
      </w:divBdr>
      <w:divsChild>
        <w:div w:id="509224271">
          <w:marLeft w:val="0"/>
          <w:marRight w:val="0"/>
          <w:marTop w:val="0"/>
          <w:marBottom w:val="0"/>
          <w:divBdr>
            <w:top w:val="none" w:sz="0" w:space="0" w:color="auto"/>
            <w:left w:val="none" w:sz="0" w:space="0" w:color="auto"/>
            <w:bottom w:val="none" w:sz="0" w:space="0" w:color="auto"/>
            <w:right w:val="none" w:sz="0" w:space="0" w:color="auto"/>
          </w:divBdr>
        </w:div>
        <w:div w:id="599071703">
          <w:marLeft w:val="0"/>
          <w:marRight w:val="0"/>
          <w:marTop w:val="0"/>
          <w:marBottom w:val="0"/>
          <w:divBdr>
            <w:top w:val="none" w:sz="0" w:space="0" w:color="auto"/>
            <w:left w:val="none" w:sz="0" w:space="0" w:color="auto"/>
            <w:bottom w:val="none" w:sz="0" w:space="0" w:color="auto"/>
            <w:right w:val="none" w:sz="0" w:space="0" w:color="auto"/>
          </w:divBdr>
        </w:div>
        <w:div w:id="973557922">
          <w:marLeft w:val="0"/>
          <w:marRight w:val="0"/>
          <w:marTop w:val="0"/>
          <w:marBottom w:val="0"/>
          <w:divBdr>
            <w:top w:val="none" w:sz="0" w:space="0" w:color="auto"/>
            <w:left w:val="none" w:sz="0" w:space="0" w:color="auto"/>
            <w:bottom w:val="none" w:sz="0" w:space="0" w:color="auto"/>
            <w:right w:val="none" w:sz="0" w:space="0" w:color="auto"/>
          </w:divBdr>
        </w:div>
        <w:div w:id="1272395781">
          <w:marLeft w:val="0"/>
          <w:marRight w:val="0"/>
          <w:marTop w:val="0"/>
          <w:marBottom w:val="0"/>
          <w:divBdr>
            <w:top w:val="none" w:sz="0" w:space="0" w:color="auto"/>
            <w:left w:val="none" w:sz="0" w:space="0" w:color="auto"/>
            <w:bottom w:val="none" w:sz="0" w:space="0" w:color="auto"/>
            <w:right w:val="none" w:sz="0" w:space="0" w:color="auto"/>
          </w:divBdr>
        </w:div>
        <w:div w:id="1420834905">
          <w:marLeft w:val="0"/>
          <w:marRight w:val="0"/>
          <w:marTop w:val="0"/>
          <w:marBottom w:val="0"/>
          <w:divBdr>
            <w:top w:val="none" w:sz="0" w:space="0" w:color="auto"/>
            <w:left w:val="none" w:sz="0" w:space="0" w:color="auto"/>
            <w:bottom w:val="none" w:sz="0" w:space="0" w:color="auto"/>
            <w:right w:val="none" w:sz="0" w:space="0" w:color="auto"/>
          </w:divBdr>
        </w:div>
        <w:div w:id="1536238093">
          <w:marLeft w:val="0"/>
          <w:marRight w:val="0"/>
          <w:marTop w:val="0"/>
          <w:marBottom w:val="0"/>
          <w:divBdr>
            <w:top w:val="none" w:sz="0" w:space="0" w:color="auto"/>
            <w:left w:val="none" w:sz="0" w:space="0" w:color="auto"/>
            <w:bottom w:val="none" w:sz="0" w:space="0" w:color="auto"/>
            <w:right w:val="none" w:sz="0" w:space="0" w:color="auto"/>
          </w:divBdr>
        </w:div>
        <w:div w:id="1776366316">
          <w:marLeft w:val="0"/>
          <w:marRight w:val="0"/>
          <w:marTop w:val="0"/>
          <w:marBottom w:val="0"/>
          <w:divBdr>
            <w:top w:val="none" w:sz="0" w:space="0" w:color="auto"/>
            <w:left w:val="none" w:sz="0" w:space="0" w:color="auto"/>
            <w:bottom w:val="none" w:sz="0" w:space="0" w:color="auto"/>
            <w:right w:val="none" w:sz="0" w:space="0" w:color="auto"/>
          </w:divBdr>
        </w:div>
        <w:div w:id="1942297448">
          <w:marLeft w:val="0"/>
          <w:marRight w:val="0"/>
          <w:marTop w:val="0"/>
          <w:marBottom w:val="0"/>
          <w:divBdr>
            <w:top w:val="none" w:sz="0" w:space="0" w:color="auto"/>
            <w:left w:val="none" w:sz="0" w:space="0" w:color="auto"/>
            <w:bottom w:val="none" w:sz="0" w:space="0" w:color="auto"/>
            <w:right w:val="none" w:sz="0" w:space="0" w:color="auto"/>
          </w:divBdr>
        </w:div>
      </w:divsChild>
    </w:div>
    <w:div w:id="999239179">
      <w:bodyDiv w:val="1"/>
      <w:marLeft w:val="0"/>
      <w:marRight w:val="0"/>
      <w:marTop w:val="0"/>
      <w:marBottom w:val="0"/>
      <w:divBdr>
        <w:top w:val="none" w:sz="0" w:space="0" w:color="auto"/>
        <w:left w:val="none" w:sz="0" w:space="0" w:color="auto"/>
        <w:bottom w:val="none" w:sz="0" w:space="0" w:color="auto"/>
        <w:right w:val="none" w:sz="0" w:space="0" w:color="auto"/>
      </w:divBdr>
    </w:div>
    <w:div w:id="1248612795">
      <w:bodyDiv w:val="1"/>
      <w:marLeft w:val="0"/>
      <w:marRight w:val="0"/>
      <w:marTop w:val="0"/>
      <w:marBottom w:val="0"/>
      <w:divBdr>
        <w:top w:val="none" w:sz="0" w:space="0" w:color="auto"/>
        <w:left w:val="none" w:sz="0" w:space="0" w:color="auto"/>
        <w:bottom w:val="none" w:sz="0" w:space="0" w:color="auto"/>
        <w:right w:val="none" w:sz="0" w:space="0" w:color="auto"/>
      </w:divBdr>
    </w:div>
    <w:div w:id="1576739945">
      <w:bodyDiv w:val="1"/>
      <w:marLeft w:val="0"/>
      <w:marRight w:val="0"/>
      <w:marTop w:val="0"/>
      <w:marBottom w:val="0"/>
      <w:divBdr>
        <w:top w:val="none" w:sz="0" w:space="0" w:color="auto"/>
        <w:left w:val="none" w:sz="0" w:space="0" w:color="auto"/>
        <w:bottom w:val="none" w:sz="0" w:space="0" w:color="auto"/>
        <w:right w:val="none" w:sz="0" w:space="0" w:color="auto"/>
      </w:divBdr>
    </w:div>
    <w:div w:id="1731153162">
      <w:bodyDiv w:val="1"/>
      <w:marLeft w:val="0"/>
      <w:marRight w:val="0"/>
      <w:marTop w:val="0"/>
      <w:marBottom w:val="0"/>
      <w:divBdr>
        <w:top w:val="none" w:sz="0" w:space="0" w:color="auto"/>
        <w:left w:val="none" w:sz="0" w:space="0" w:color="auto"/>
        <w:bottom w:val="none" w:sz="0" w:space="0" w:color="auto"/>
        <w:right w:val="none" w:sz="0" w:space="0" w:color="auto"/>
      </w:divBdr>
    </w:div>
    <w:div w:id="1876891214">
      <w:bodyDiv w:val="1"/>
      <w:marLeft w:val="0"/>
      <w:marRight w:val="0"/>
      <w:marTop w:val="0"/>
      <w:marBottom w:val="0"/>
      <w:divBdr>
        <w:top w:val="none" w:sz="0" w:space="0" w:color="auto"/>
        <w:left w:val="none" w:sz="0" w:space="0" w:color="auto"/>
        <w:bottom w:val="none" w:sz="0" w:space="0" w:color="auto"/>
        <w:right w:val="none" w:sz="0" w:space="0" w:color="auto"/>
      </w:divBdr>
      <w:divsChild>
        <w:div w:id="99957745">
          <w:marLeft w:val="0"/>
          <w:marRight w:val="0"/>
          <w:marTop w:val="0"/>
          <w:marBottom w:val="0"/>
          <w:divBdr>
            <w:top w:val="none" w:sz="0" w:space="0" w:color="auto"/>
            <w:left w:val="none" w:sz="0" w:space="0" w:color="auto"/>
            <w:bottom w:val="none" w:sz="0" w:space="0" w:color="auto"/>
            <w:right w:val="none" w:sz="0" w:space="0" w:color="auto"/>
          </w:divBdr>
        </w:div>
        <w:div w:id="162816738">
          <w:marLeft w:val="0"/>
          <w:marRight w:val="0"/>
          <w:marTop w:val="0"/>
          <w:marBottom w:val="0"/>
          <w:divBdr>
            <w:top w:val="none" w:sz="0" w:space="0" w:color="auto"/>
            <w:left w:val="none" w:sz="0" w:space="0" w:color="auto"/>
            <w:bottom w:val="none" w:sz="0" w:space="0" w:color="auto"/>
            <w:right w:val="none" w:sz="0" w:space="0" w:color="auto"/>
          </w:divBdr>
        </w:div>
        <w:div w:id="447433175">
          <w:marLeft w:val="0"/>
          <w:marRight w:val="0"/>
          <w:marTop w:val="0"/>
          <w:marBottom w:val="0"/>
          <w:divBdr>
            <w:top w:val="none" w:sz="0" w:space="0" w:color="auto"/>
            <w:left w:val="none" w:sz="0" w:space="0" w:color="auto"/>
            <w:bottom w:val="none" w:sz="0" w:space="0" w:color="auto"/>
            <w:right w:val="none" w:sz="0" w:space="0" w:color="auto"/>
          </w:divBdr>
        </w:div>
        <w:div w:id="666132807">
          <w:marLeft w:val="0"/>
          <w:marRight w:val="0"/>
          <w:marTop w:val="0"/>
          <w:marBottom w:val="0"/>
          <w:divBdr>
            <w:top w:val="none" w:sz="0" w:space="0" w:color="auto"/>
            <w:left w:val="none" w:sz="0" w:space="0" w:color="auto"/>
            <w:bottom w:val="none" w:sz="0" w:space="0" w:color="auto"/>
            <w:right w:val="none" w:sz="0" w:space="0" w:color="auto"/>
          </w:divBdr>
        </w:div>
        <w:div w:id="704673656">
          <w:marLeft w:val="0"/>
          <w:marRight w:val="0"/>
          <w:marTop w:val="0"/>
          <w:marBottom w:val="0"/>
          <w:divBdr>
            <w:top w:val="none" w:sz="0" w:space="0" w:color="auto"/>
            <w:left w:val="none" w:sz="0" w:space="0" w:color="auto"/>
            <w:bottom w:val="none" w:sz="0" w:space="0" w:color="auto"/>
            <w:right w:val="none" w:sz="0" w:space="0" w:color="auto"/>
          </w:divBdr>
        </w:div>
        <w:div w:id="715668511">
          <w:marLeft w:val="0"/>
          <w:marRight w:val="0"/>
          <w:marTop w:val="0"/>
          <w:marBottom w:val="0"/>
          <w:divBdr>
            <w:top w:val="none" w:sz="0" w:space="0" w:color="auto"/>
            <w:left w:val="none" w:sz="0" w:space="0" w:color="auto"/>
            <w:bottom w:val="none" w:sz="0" w:space="0" w:color="auto"/>
            <w:right w:val="none" w:sz="0" w:space="0" w:color="auto"/>
          </w:divBdr>
        </w:div>
        <w:div w:id="1256278902">
          <w:marLeft w:val="0"/>
          <w:marRight w:val="0"/>
          <w:marTop w:val="0"/>
          <w:marBottom w:val="0"/>
          <w:divBdr>
            <w:top w:val="none" w:sz="0" w:space="0" w:color="auto"/>
            <w:left w:val="none" w:sz="0" w:space="0" w:color="auto"/>
            <w:bottom w:val="none" w:sz="0" w:space="0" w:color="auto"/>
            <w:right w:val="none" w:sz="0" w:space="0" w:color="auto"/>
          </w:divBdr>
        </w:div>
        <w:div w:id="1313681902">
          <w:marLeft w:val="0"/>
          <w:marRight w:val="0"/>
          <w:marTop w:val="0"/>
          <w:marBottom w:val="0"/>
          <w:divBdr>
            <w:top w:val="none" w:sz="0" w:space="0" w:color="auto"/>
            <w:left w:val="none" w:sz="0" w:space="0" w:color="auto"/>
            <w:bottom w:val="none" w:sz="0" w:space="0" w:color="auto"/>
            <w:right w:val="none" w:sz="0" w:space="0" w:color="auto"/>
          </w:divBdr>
        </w:div>
        <w:div w:id="1843273809">
          <w:marLeft w:val="0"/>
          <w:marRight w:val="0"/>
          <w:marTop w:val="0"/>
          <w:marBottom w:val="0"/>
          <w:divBdr>
            <w:top w:val="none" w:sz="0" w:space="0" w:color="auto"/>
            <w:left w:val="none" w:sz="0" w:space="0" w:color="auto"/>
            <w:bottom w:val="none" w:sz="0" w:space="0" w:color="auto"/>
            <w:right w:val="none" w:sz="0" w:space="0" w:color="auto"/>
          </w:divBdr>
        </w:div>
      </w:divsChild>
    </w:div>
    <w:div w:id="2075541366">
      <w:bodyDiv w:val="1"/>
      <w:marLeft w:val="0"/>
      <w:marRight w:val="0"/>
      <w:marTop w:val="0"/>
      <w:marBottom w:val="0"/>
      <w:divBdr>
        <w:top w:val="none" w:sz="0" w:space="0" w:color="auto"/>
        <w:left w:val="none" w:sz="0" w:space="0" w:color="auto"/>
        <w:bottom w:val="none" w:sz="0" w:space="0" w:color="auto"/>
        <w:right w:val="none" w:sz="0" w:space="0" w:color="auto"/>
      </w:divBdr>
      <w:divsChild>
        <w:div w:id="303780122">
          <w:marLeft w:val="0"/>
          <w:marRight w:val="0"/>
          <w:marTop w:val="0"/>
          <w:marBottom w:val="0"/>
          <w:divBdr>
            <w:top w:val="none" w:sz="0" w:space="0" w:color="auto"/>
            <w:left w:val="none" w:sz="0" w:space="0" w:color="auto"/>
            <w:bottom w:val="none" w:sz="0" w:space="0" w:color="auto"/>
            <w:right w:val="none" w:sz="0" w:space="0" w:color="auto"/>
          </w:divBdr>
        </w:div>
        <w:div w:id="1077706339">
          <w:marLeft w:val="0"/>
          <w:marRight w:val="0"/>
          <w:marTop w:val="0"/>
          <w:marBottom w:val="0"/>
          <w:divBdr>
            <w:top w:val="none" w:sz="0" w:space="0" w:color="auto"/>
            <w:left w:val="none" w:sz="0" w:space="0" w:color="auto"/>
            <w:bottom w:val="none" w:sz="0" w:space="0" w:color="auto"/>
            <w:right w:val="none" w:sz="0" w:space="0" w:color="auto"/>
          </w:divBdr>
        </w:div>
        <w:div w:id="1553150468">
          <w:marLeft w:val="0"/>
          <w:marRight w:val="0"/>
          <w:marTop w:val="0"/>
          <w:marBottom w:val="0"/>
          <w:divBdr>
            <w:top w:val="none" w:sz="0" w:space="0" w:color="auto"/>
            <w:left w:val="none" w:sz="0" w:space="0" w:color="auto"/>
            <w:bottom w:val="none" w:sz="0" w:space="0" w:color="auto"/>
            <w:right w:val="none" w:sz="0" w:space="0" w:color="auto"/>
          </w:divBdr>
        </w:div>
        <w:div w:id="1555580541">
          <w:marLeft w:val="0"/>
          <w:marRight w:val="0"/>
          <w:marTop w:val="0"/>
          <w:marBottom w:val="0"/>
          <w:divBdr>
            <w:top w:val="none" w:sz="0" w:space="0" w:color="auto"/>
            <w:left w:val="none" w:sz="0" w:space="0" w:color="auto"/>
            <w:bottom w:val="none" w:sz="0" w:space="0" w:color="auto"/>
            <w:right w:val="none" w:sz="0" w:space="0" w:color="auto"/>
          </w:divBdr>
        </w:div>
        <w:div w:id="1662464056">
          <w:marLeft w:val="0"/>
          <w:marRight w:val="0"/>
          <w:marTop w:val="0"/>
          <w:marBottom w:val="0"/>
          <w:divBdr>
            <w:top w:val="none" w:sz="0" w:space="0" w:color="auto"/>
            <w:left w:val="none" w:sz="0" w:space="0" w:color="auto"/>
            <w:bottom w:val="none" w:sz="0" w:space="0" w:color="auto"/>
            <w:right w:val="none" w:sz="0" w:space="0" w:color="auto"/>
          </w:divBdr>
        </w:div>
        <w:div w:id="1836604973">
          <w:marLeft w:val="0"/>
          <w:marRight w:val="0"/>
          <w:marTop w:val="0"/>
          <w:marBottom w:val="0"/>
          <w:divBdr>
            <w:top w:val="none" w:sz="0" w:space="0" w:color="auto"/>
            <w:left w:val="none" w:sz="0" w:space="0" w:color="auto"/>
            <w:bottom w:val="none" w:sz="0" w:space="0" w:color="auto"/>
            <w:right w:val="none" w:sz="0" w:space="0" w:color="auto"/>
          </w:divBdr>
        </w:div>
        <w:div w:id="2092510202">
          <w:marLeft w:val="0"/>
          <w:marRight w:val="0"/>
          <w:marTop w:val="0"/>
          <w:marBottom w:val="0"/>
          <w:divBdr>
            <w:top w:val="none" w:sz="0" w:space="0" w:color="auto"/>
            <w:left w:val="none" w:sz="0" w:space="0" w:color="auto"/>
            <w:bottom w:val="none" w:sz="0" w:space="0" w:color="auto"/>
            <w:right w:val="none" w:sz="0" w:space="0" w:color="auto"/>
          </w:divBdr>
        </w:div>
        <w:div w:id="2135980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nergy.ca.gov/rules-and-regulations/energy-suppliers-reporting/clean-energy-and-pollution-reduction-act-sb-350/energy-data-collection-rulemaking" TargetMode="External"/><Relationship Id="rId2" Type="http://schemas.openxmlformats.org/officeDocument/2006/relationships/hyperlink" Target="https://www.law.cornell.edu/regulations/california/20-CCR-1353" TargetMode="External"/><Relationship Id="rId1" Type="http://schemas.openxmlformats.org/officeDocument/2006/relationships/hyperlink" Target="https://www.law.cornell.edu/regulations/california/20-CCR-1353" TargetMode="External"/><Relationship Id="rId4" Type="http://schemas.openxmlformats.org/officeDocument/2006/relationships/hyperlink" Target="https://www.energy.ca.gov/rules-and-regulations/energy-suppliers-reporting/clean-energy-and-pollution-reduction-act-sb-350/energy-data-collection-rule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F149B-D299-4B1C-99B6-A531CCD137E0}">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45A29B3C-325B-4064-B3B5-100972434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D8A207-3FDA-488F-B8B9-51E3E609AEB1}">
  <ds:schemaRefs>
    <ds:schemaRef ds:uri="http://schemas.microsoft.com/sharepoint/v3/contenttype/forms"/>
  </ds:schemaRefs>
</ds:datastoreItem>
</file>

<file path=customXml/itemProps4.xml><?xml version="1.0" encoding="utf-8"?>
<ds:datastoreItem xmlns:ds="http://schemas.openxmlformats.org/officeDocument/2006/customXml" ds:itemID="{80923CE7-FDB6-4566-98FF-9D233DB0762B}">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40</TotalTime>
  <Pages>5</Pages>
  <Words>1374</Words>
  <Characters>7533</Characters>
  <Application>Microsoft Office Word</Application>
  <DocSecurity>0</DocSecurity>
  <Lines>179</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CharactersWithSpaces>
  <SharedDoc>false</SharedDoc>
  <HLinks>
    <vt:vector size="24" baseType="variant">
      <vt:variant>
        <vt:i4>5308418</vt:i4>
      </vt:variant>
      <vt:variant>
        <vt:i4>9</vt:i4>
      </vt:variant>
      <vt:variant>
        <vt:i4>0</vt:i4>
      </vt:variant>
      <vt:variant>
        <vt:i4>5</vt:i4>
      </vt:variant>
      <vt:variant>
        <vt:lpwstr>https://www.energy.ca.gov/rules-and-regulations/energy-suppliers-reporting/clean-energy-and-pollution-reduction-act-sb-350/energy-data-collection-rulemaking</vt:lpwstr>
      </vt:variant>
      <vt:variant>
        <vt:lpwstr/>
      </vt:variant>
      <vt:variant>
        <vt:i4>5308418</vt:i4>
      </vt:variant>
      <vt:variant>
        <vt:i4>6</vt:i4>
      </vt:variant>
      <vt:variant>
        <vt:i4>0</vt:i4>
      </vt:variant>
      <vt:variant>
        <vt:i4>5</vt:i4>
      </vt:variant>
      <vt:variant>
        <vt:lpwstr>https://www.energy.ca.gov/rules-and-regulations/energy-suppliers-reporting/clean-energy-and-pollution-reduction-act-sb-350/energy-data-collection-rulemaking</vt:lpwstr>
      </vt:variant>
      <vt:variant>
        <vt:lpwstr/>
      </vt:variant>
      <vt:variant>
        <vt:i4>7274554</vt:i4>
      </vt:variant>
      <vt:variant>
        <vt:i4>3</vt:i4>
      </vt:variant>
      <vt:variant>
        <vt:i4>0</vt:i4>
      </vt:variant>
      <vt:variant>
        <vt:i4>5</vt:i4>
      </vt:variant>
      <vt:variant>
        <vt:lpwstr>https://www.law.cornell.edu/regulations/california/20-CCR-1353</vt:lpwstr>
      </vt:variant>
      <vt:variant>
        <vt:lpwstr/>
      </vt:variant>
      <vt:variant>
        <vt:i4>7274554</vt:i4>
      </vt:variant>
      <vt:variant>
        <vt:i4>0</vt:i4>
      </vt:variant>
      <vt:variant>
        <vt:i4>0</vt:i4>
      </vt:variant>
      <vt:variant>
        <vt:i4>5</vt:i4>
      </vt:variant>
      <vt:variant>
        <vt:lpwstr>https://www.law.cornell.edu/regulations/california/20-CCR-1353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20</dc:title>
  <dc:subject/>
  <dc:creator>California Energy Commission</dc:creator>
  <cp:keywords>RFP-26-501</cp:keywords>
  <dc:description/>
  <cp:lastModifiedBy>Dyer, Phil@Energy</cp:lastModifiedBy>
  <cp:revision>254</cp:revision>
  <dcterms:created xsi:type="dcterms:W3CDTF">2026-04-23T00:00:00Z</dcterms:created>
  <dcterms:modified xsi:type="dcterms:W3CDTF">2026-10-21T01:06:00Z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Order">
    <vt:r8>5668700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